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65"/>
        <w:gridCol w:w="7551"/>
      </w:tblGrid>
      <w:tr w:rsidR="005B3404" w:rsidRPr="004F7D69" w:rsidTr="00091992">
        <w:tc>
          <w:tcPr>
            <w:tcW w:w="9016" w:type="dxa"/>
            <w:gridSpan w:val="2"/>
            <w:shd w:val="clear" w:color="auto" w:fill="DEEAF6" w:themeFill="accent1" w:themeFillTint="33"/>
          </w:tcPr>
          <w:p w:rsidR="005B3404" w:rsidRPr="004F7D69" w:rsidRDefault="005B3404" w:rsidP="00091992">
            <w:pPr>
              <w:rPr>
                <w:b/>
                <w:color w:val="1F3864" w:themeColor="accent5" w:themeShade="80"/>
              </w:rPr>
            </w:pPr>
            <w:r w:rsidRPr="004F7D69">
              <w:rPr>
                <w:b/>
                <w:color w:val="1F3864" w:themeColor="accent5" w:themeShade="80"/>
              </w:rPr>
              <w:t>Ideas for preparing to return to school</w:t>
            </w:r>
          </w:p>
        </w:tc>
      </w:tr>
      <w:tr w:rsidR="005B3404" w:rsidRPr="004F7D69" w:rsidTr="00091992">
        <w:tc>
          <w:tcPr>
            <w:tcW w:w="1454" w:type="dxa"/>
            <w:shd w:val="clear" w:color="auto" w:fill="F2F2F2" w:themeFill="background1" w:themeFillShade="F2"/>
          </w:tcPr>
          <w:p w:rsidR="005B3404" w:rsidRPr="004F7D69" w:rsidRDefault="005B3404" w:rsidP="00091992">
            <w:pPr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Sharing information</w:t>
            </w:r>
          </w:p>
        </w:tc>
        <w:tc>
          <w:tcPr>
            <w:tcW w:w="7562" w:type="dxa"/>
            <w:shd w:val="clear" w:color="auto" w:fill="F2F2F2" w:themeFill="background1" w:themeFillShade="F2"/>
          </w:tcPr>
          <w:p w:rsidR="005B3404" w:rsidRPr="004F7D69" w:rsidRDefault="005B3404" w:rsidP="005B34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Be honest about what you know and what you don’t know yet.</w:t>
            </w:r>
          </w:p>
          <w:p w:rsidR="005B3404" w:rsidRPr="004F7D69" w:rsidRDefault="005B3404" w:rsidP="005B34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 xml:space="preserve">Once your school sends specific information, share </w:t>
            </w:r>
            <w:r>
              <w:rPr>
                <w:color w:val="1F3864" w:themeColor="accent5" w:themeShade="80"/>
              </w:rPr>
              <w:t>it</w:t>
            </w:r>
            <w:r w:rsidRPr="004F7D69">
              <w:rPr>
                <w:color w:val="1F3864" w:themeColor="accent5" w:themeShade="80"/>
              </w:rPr>
              <w:t xml:space="preserve"> with your child in a way that suits their level of understanding.</w:t>
            </w:r>
          </w:p>
          <w:p w:rsidR="005B3404" w:rsidRPr="004F7D69" w:rsidRDefault="005B3404" w:rsidP="005B34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Reassure them that adults are working hard to get information to children and young people as soon as they can.</w:t>
            </w:r>
          </w:p>
        </w:tc>
      </w:tr>
      <w:tr w:rsidR="005B3404" w:rsidRPr="004F7D69" w:rsidTr="00091992">
        <w:tc>
          <w:tcPr>
            <w:tcW w:w="1454" w:type="dxa"/>
            <w:shd w:val="clear" w:color="auto" w:fill="DEEAF6" w:themeFill="accent1" w:themeFillTint="33"/>
          </w:tcPr>
          <w:p w:rsidR="005B3404" w:rsidRPr="004F7D69" w:rsidRDefault="005B3404" w:rsidP="00091992">
            <w:pPr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Safety</w:t>
            </w:r>
          </w:p>
        </w:tc>
        <w:tc>
          <w:tcPr>
            <w:tcW w:w="7562" w:type="dxa"/>
            <w:shd w:val="clear" w:color="auto" w:fill="DEEAF6" w:themeFill="accent1" w:themeFillTint="33"/>
          </w:tcPr>
          <w:p w:rsidR="005B3404" w:rsidRPr="004F7D69" w:rsidRDefault="005B3404" w:rsidP="005B34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Explain that children and young people will only be returning to school when it is safe to do so.</w:t>
            </w:r>
          </w:p>
          <w:p w:rsidR="005B3404" w:rsidRPr="004F7D69" w:rsidRDefault="005B3404" w:rsidP="005B34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Prepare your child that there might be changes to plans if it is needed for safety.</w:t>
            </w:r>
          </w:p>
          <w:p w:rsidR="005B3404" w:rsidRPr="004F7D69" w:rsidRDefault="005B3404" w:rsidP="005B34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Let them know that there will be some changes in school to make sure that school is even safer e.g. extra handwashing.</w:t>
            </w:r>
          </w:p>
        </w:tc>
      </w:tr>
      <w:tr w:rsidR="005B3404" w:rsidRPr="004F7D69" w:rsidTr="00091992">
        <w:tc>
          <w:tcPr>
            <w:tcW w:w="1454" w:type="dxa"/>
            <w:shd w:val="clear" w:color="auto" w:fill="F2F2F2" w:themeFill="background1" w:themeFillShade="F2"/>
          </w:tcPr>
          <w:p w:rsidR="005B3404" w:rsidRPr="004F7D69" w:rsidRDefault="005B3404" w:rsidP="00091992">
            <w:pPr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Routines</w:t>
            </w:r>
          </w:p>
        </w:tc>
        <w:tc>
          <w:tcPr>
            <w:tcW w:w="7562" w:type="dxa"/>
            <w:shd w:val="clear" w:color="auto" w:fill="F2F2F2" w:themeFill="background1" w:themeFillShade="F2"/>
          </w:tcPr>
          <w:p w:rsidR="005B3404" w:rsidRPr="004F7D69" w:rsidRDefault="005B3404" w:rsidP="005B34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Try to return to a school day routine a few days before return by winding back bedtimes and wake up times (that’s a tough one for everyone!).</w:t>
            </w:r>
          </w:p>
          <w:p w:rsidR="005B3404" w:rsidRPr="004F7D69" w:rsidRDefault="005B3404" w:rsidP="005B34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Create together a checklist for schoolbag contents; encourage your child to take ownership of packing it.</w:t>
            </w:r>
          </w:p>
        </w:tc>
      </w:tr>
      <w:tr w:rsidR="005B3404" w:rsidRPr="004F7D69" w:rsidTr="00091992">
        <w:tc>
          <w:tcPr>
            <w:tcW w:w="1454" w:type="dxa"/>
            <w:shd w:val="clear" w:color="auto" w:fill="DEEAF6" w:themeFill="accent1" w:themeFillTint="33"/>
          </w:tcPr>
          <w:p w:rsidR="005B3404" w:rsidRPr="004F7D69" w:rsidRDefault="005B3404" w:rsidP="00091992">
            <w:pPr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Rehearse</w:t>
            </w:r>
          </w:p>
        </w:tc>
        <w:tc>
          <w:tcPr>
            <w:tcW w:w="7562" w:type="dxa"/>
            <w:shd w:val="clear" w:color="auto" w:fill="DEEAF6" w:themeFill="accent1" w:themeFillTint="33"/>
          </w:tcPr>
          <w:p w:rsidR="005B3404" w:rsidRPr="004F7D69" w:rsidRDefault="005B3404" w:rsidP="005B34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Try on uniforms.</w:t>
            </w:r>
          </w:p>
          <w:p w:rsidR="005B3404" w:rsidRPr="004F7D69" w:rsidRDefault="005B3404" w:rsidP="005B34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If your child is taking public transport for the first time</w:t>
            </w:r>
            <w:r>
              <w:rPr>
                <w:color w:val="1F3864" w:themeColor="accent5" w:themeShade="80"/>
              </w:rPr>
              <w:t>,</w:t>
            </w:r>
            <w:r w:rsidRPr="004F7D69">
              <w:rPr>
                <w:color w:val="1F3864" w:themeColor="accent5" w:themeShade="80"/>
              </w:rPr>
              <w:t xml:space="preserve"> try out the route ahead of the first day.</w:t>
            </w:r>
          </w:p>
        </w:tc>
      </w:tr>
      <w:tr w:rsidR="005B3404" w:rsidRPr="004F7D69" w:rsidTr="00091992">
        <w:tc>
          <w:tcPr>
            <w:tcW w:w="1454" w:type="dxa"/>
            <w:shd w:val="clear" w:color="auto" w:fill="F2F2F2" w:themeFill="background1" w:themeFillShade="F2"/>
          </w:tcPr>
          <w:p w:rsidR="005B3404" w:rsidRPr="004F7D69" w:rsidRDefault="005B3404" w:rsidP="00091992">
            <w:pPr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Communicate</w:t>
            </w:r>
          </w:p>
        </w:tc>
        <w:tc>
          <w:tcPr>
            <w:tcW w:w="7562" w:type="dxa"/>
            <w:shd w:val="clear" w:color="auto" w:fill="F2F2F2" w:themeFill="background1" w:themeFillShade="F2"/>
          </w:tcPr>
          <w:p w:rsidR="005B3404" w:rsidRPr="004F7D69" w:rsidRDefault="005B3404" w:rsidP="005B34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Talk through any specific fears or worries.</w:t>
            </w:r>
          </w:p>
          <w:p w:rsidR="005B3404" w:rsidRPr="004F7D69" w:rsidRDefault="005B3404" w:rsidP="005B34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Help them to think about times they have dealt well with these situations in the past, even if just a little e.g. a time they were worried about joining a club and then enjoyed it.</w:t>
            </w:r>
          </w:p>
          <w:p w:rsidR="005B3404" w:rsidRPr="004F7D69" w:rsidRDefault="005B3404" w:rsidP="005B34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The workbooks in the resource section may help this discussion.</w:t>
            </w:r>
          </w:p>
        </w:tc>
      </w:tr>
      <w:tr w:rsidR="005B3404" w:rsidRPr="004F7D69" w:rsidTr="00091992">
        <w:tc>
          <w:tcPr>
            <w:tcW w:w="1454" w:type="dxa"/>
            <w:shd w:val="clear" w:color="auto" w:fill="DEEAF6" w:themeFill="accent1" w:themeFillTint="33"/>
          </w:tcPr>
          <w:p w:rsidR="005B3404" w:rsidRPr="004F7D69" w:rsidRDefault="005B3404" w:rsidP="00091992">
            <w:pPr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Remember</w:t>
            </w:r>
          </w:p>
        </w:tc>
        <w:tc>
          <w:tcPr>
            <w:tcW w:w="7562" w:type="dxa"/>
            <w:shd w:val="clear" w:color="auto" w:fill="DEEAF6" w:themeFill="accent1" w:themeFillTint="33"/>
          </w:tcPr>
          <w:p w:rsidR="005B3404" w:rsidRPr="004F7D69" w:rsidRDefault="005B3404" w:rsidP="005B34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Talk about what they enjoyed in school in the past and have missed.</w:t>
            </w:r>
          </w:p>
          <w:p w:rsidR="005B3404" w:rsidRPr="004F7D69" w:rsidRDefault="005B3404" w:rsidP="005B34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Think about what they think they have learned since they were last in school.</w:t>
            </w:r>
          </w:p>
        </w:tc>
      </w:tr>
      <w:tr w:rsidR="005B3404" w:rsidRPr="004F7D69" w:rsidTr="00091992">
        <w:tc>
          <w:tcPr>
            <w:tcW w:w="1454" w:type="dxa"/>
            <w:shd w:val="clear" w:color="auto" w:fill="F2F2F2" w:themeFill="background1" w:themeFillShade="F2"/>
          </w:tcPr>
          <w:p w:rsidR="005B3404" w:rsidRPr="004F7D69" w:rsidRDefault="005B3404" w:rsidP="00091992">
            <w:pPr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Reassure</w:t>
            </w:r>
          </w:p>
        </w:tc>
        <w:tc>
          <w:tcPr>
            <w:tcW w:w="7562" w:type="dxa"/>
            <w:shd w:val="clear" w:color="auto" w:fill="F2F2F2" w:themeFill="background1" w:themeFillShade="F2"/>
          </w:tcPr>
          <w:p w:rsidR="005B3404" w:rsidRPr="004F7D69" w:rsidRDefault="005B3404" w:rsidP="005B34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 xml:space="preserve">Your child might be worried that they </w:t>
            </w:r>
            <w:r>
              <w:rPr>
                <w:color w:val="1F3864" w:themeColor="accent5" w:themeShade="80"/>
              </w:rPr>
              <w:t xml:space="preserve">are behind in their work or that they </w:t>
            </w:r>
            <w:r w:rsidRPr="004F7D69">
              <w:rPr>
                <w:color w:val="1F3864" w:themeColor="accent5" w:themeShade="80"/>
              </w:rPr>
              <w:t xml:space="preserve">switched off from the activities offered by the school. Reassure your child that this is a new moment and that their teacher will help </w:t>
            </w:r>
            <w:r>
              <w:rPr>
                <w:color w:val="1F3864" w:themeColor="accent5" w:themeShade="80"/>
              </w:rPr>
              <w:t>everyone</w:t>
            </w:r>
            <w:r w:rsidRPr="004F7D69">
              <w:rPr>
                <w:color w:val="1F3864" w:themeColor="accent5" w:themeShade="80"/>
              </w:rPr>
              <w:t xml:space="preserve"> no matter what they have managed while at home.</w:t>
            </w:r>
          </w:p>
          <w:p w:rsidR="005B3404" w:rsidRPr="004F7D69" w:rsidRDefault="005B3404" w:rsidP="005B34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Sometimes if your child is continually caught up in ‘what if’ thinking</w:t>
            </w:r>
            <w:r>
              <w:rPr>
                <w:color w:val="1F3864" w:themeColor="accent5" w:themeShade="80"/>
              </w:rPr>
              <w:t>,</w:t>
            </w:r>
            <w:r w:rsidRPr="004F7D69">
              <w:rPr>
                <w:color w:val="1F3864" w:themeColor="accent5" w:themeShade="80"/>
              </w:rPr>
              <w:t xml:space="preserve"> it can be helpful to suggest they have a special time of day to talk about these worries. If they bring up these worries at other times then ask them to keep them in mind for their special time</w:t>
            </w:r>
            <w:r>
              <w:rPr>
                <w:color w:val="1F3864" w:themeColor="accent5" w:themeShade="80"/>
              </w:rPr>
              <w:t xml:space="preserve"> and </w:t>
            </w:r>
            <w:r w:rsidRPr="004F7D69">
              <w:rPr>
                <w:color w:val="1F3864" w:themeColor="accent5" w:themeShade="80"/>
              </w:rPr>
              <w:t>make sure this special time then takes place.</w:t>
            </w:r>
          </w:p>
        </w:tc>
      </w:tr>
      <w:tr w:rsidR="005B3404" w:rsidRPr="004F7D69" w:rsidTr="00091992">
        <w:tc>
          <w:tcPr>
            <w:tcW w:w="1454" w:type="dxa"/>
            <w:shd w:val="clear" w:color="auto" w:fill="DEEAF6" w:themeFill="accent1" w:themeFillTint="33"/>
          </w:tcPr>
          <w:p w:rsidR="005B3404" w:rsidRPr="004F7D69" w:rsidRDefault="005B3404" w:rsidP="00091992">
            <w:pPr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Coping strategies for anxiety</w:t>
            </w:r>
          </w:p>
        </w:tc>
        <w:tc>
          <w:tcPr>
            <w:tcW w:w="7562" w:type="dxa"/>
            <w:shd w:val="clear" w:color="auto" w:fill="DEEAF6" w:themeFill="accent1" w:themeFillTint="33"/>
          </w:tcPr>
          <w:p w:rsidR="005B3404" w:rsidRPr="004F7D69" w:rsidRDefault="005B3404" w:rsidP="005B34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 xml:space="preserve">It can be helpful to teach relaxation strategies in advance of tense situations to help your child </w:t>
            </w:r>
            <w:r>
              <w:rPr>
                <w:color w:val="1F3864" w:themeColor="accent5" w:themeShade="80"/>
              </w:rPr>
              <w:t xml:space="preserve">to </w:t>
            </w:r>
            <w:r w:rsidRPr="004F7D69">
              <w:rPr>
                <w:color w:val="1F3864" w:themeColor="accent5" w:themeShade="80"/>
              </w:rPr>
              <w:t>cope.</w:t>
            </w:r>
          </w:p>
          <w:p w:rsidR="005B3404" w:rsidRPr="004F7D69" w:rsidRDefault="005B3404" w:rsidP="005B34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1F3864" w:themeColor="accent5" w:themeShade="80"/>
              </w:rPr>
            </w:pPr>
            <w:r w:rsidRPr="004F7D69">
              <w:rPr>
                <w:color w:val="1F3864" w:themeColor="accent5" w:themeShade="80"/>
              </w:rPr>
              <w:t>Explore ways of becoming calm that your child might find helpful (see workbooks).</w:t>
            </w:r>
          </w:p>
        </w:tc>
      </w:tr>
    </w:tbl>
    <w:p w:rsidR="005B3404" w:rsidRDefault="005B3404" w:rsidP="00B561C0">
      <w:pPr>
        <w:rPr>
          <w:rFonts w:cstheme="minorHAnsi"/>
          <w:szCs w:val="24"/>
        </w:rPr>
      </w:pPr>
      <w:bookmarkStart w:id="0" w:name="_GoBack"/>
      <w:bookmarkEnd w:id="0"/>
    </w:p>
    <w:p w:rsidR="005B3404" w:rsidRPr="009B7615" w:rsidRDefault="005B3404" w:rsidP="00B561C0"/>
    <w:sectPr w:rsidR="005B3404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8966104"/>
    <w:multiLevelType w:val="hybridMultilevel"/>
    <w:tmpl w:val="3A50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307F3"/>
    <w:multiLevelType w:val="hybridMultilevel"/>
    <w:tmpl w:val="52CE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1882"/>
    <w:multiLevelType w:val="hybridMultilevel"/>
    <w:tmpl w:val="400E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D2801"/>
    <w:multiLevelType w:val="hybridMultilevel"/>
    <w:tmpl w:val="B69A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9563CE5"/>
    <w:multiLevelType w:val="hybridMultilevel"/>
    <w:tmpl w:val="4680F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C0080"/>
    <w:multiLevelType w:val="hybridMultilevel"/>
    <w:tmpl w:val="9F00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04"/>
    <w:rsid w:val="00027C27"/>
    <w:rsid w:val="000C0CF4"/>
    <w:rsid w:val="00281579"/>
    <w:rsid w:val="00306C61"/>
    <w:rsid w:val="0037582B"/>
    <w:rsid w:val="005B3404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4013"/>
  <w15:chartTrackingRefBased/>
  <w15:docId w15:val="{76BBC427-AAF0-4B68-B2CF-2EF27DF1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404"/>
    <w:pPr>
      <w:spacing w:after="160" w:line="259" w:lineRule="auto"/>
    </w:pPr>
    <w:rPr>
      <w:rFonts w:eastAsiaTheme="minorHAns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5B3404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for preparing return to school</dc:title>
  <dc:subject/>
  <dc:creator>Stevenson J (Jeremy)</dc:creator>
  <cp:keywords/>
  <dc:description/>
  <cp:lastModifiedBy>Stevenson J (Jeremy)</cp:lastModifiedBy>
  <cp:revision>1</cp:revision>
  <dcterms:created xsi:type="dcterms:W3CDTF">2020-07-28T17:06:00Z</dcterms:created>
  <dcterms:modified xsi:type="dcterms:W3CDTF">2020-07-28T17:12:00Z</dcterms:modified>
</cp:coreProperties>
</file>