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63" w:rsidRDefault="00C24463" w:rsidP="00C24463">
      <w:pPr>
        <w:pStyle w:val="paragraph"/>
        <w:jc w:val="center"/>
        <w:textAlignment w:val="baseline"/>
        <w:rPr>
          <w:color w:val="00ABB5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600200" cy="648970"/>
            <wp:effectExtent l="0" t="0" r="0" b="0"/>
            <wp:docPr id="2" name="Picture 2" descr="C:\Users\u444789\AppData\Local\Microsoft\Windows\INetCache\Content.MSO\9A9BA1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44789\AppData\Local\Microsoft\Windows\INetCache\Content.MSO\9A9BA12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052">
        <w:rPr>
          <w:rStyle w:val="normaltextrun1"/>
          <w:rFonts w:ascii="Arial" w:hAnsi="Arial" w:cs="Arial"/>
          <w:color w:val="00ABB5"/>
          <w:sz w:val="60"/>
          <w:szCs w:val="60"/>
          <w:lang w:val="en-US"/>
        </w:rPr>
        <w:t xml:space="preserve">  </w:t>
      </w:r>
      <w:bookmarkStart w:id="0" w:name="_GoBack"/>
      <w:bookmarkEnd w:id="0"/>
      <w:r>
        <w:rPr>
          <w:rStyle w:val="normaltextrun1"/>
          <w:rFonts w:ascii="Arial" w:hAnsi="Arial" w:cs="Arial"/>
          <w:color w:val="00ABB5"/>
          <w:sz w:val="60"/>
          <w:szCs w:val="60"/>
          <w:lang w:val="en-US"/>
        </w:rPr>
        <w:t>Play Pedagogy Toolkit</w:t>
      </w:r>
      <w:r>
        <w:rPr>
          <w:rStyle w:val="eop"/>
          <w:rFonts w:ascii="Arial" w:hAnsi="Arial" w:cs="Arial"/>
          <w:color w:val="00ABB5"/>
          <w:sz w:val="60"/>
          <w:szCs w:val="60"/>
        </w:rPr>
        <w:t> </w:t>
      </w:r>
    </w:p>
    <w:p w:rsidR="00C24463" w:rsidRDefault="00C24463" w:rsidP="00C24463">
      <w:pPr>
        <w:pStyle w:val="paragraph"/>
        <w:jc w:val="center"/>
        <w:textAlignment w:val="baseline"/>
        <w:rPr>
          <w:b/>
          <w:bCs/>
          <w:color w:val="B3D236"/>
        </w:rPr>
      </w:pPr>
      <w:r>
        <w:rPr>
          <w:rStyle w:val="normaltextrun1"/>
          <w:rFonts w:ascii="Arial" w:hAnsi="Arial" w:cs="Arial"/>
          <w:b/>
          <w:bCs/>
          <w:color w:val="B3D236"/>
          <w:sz w:val="36"/>
          <w:szCs w:val="36"/>
          <w:lang w:val="en-US"/>
        </w:rPr>
        <w:t xml:space="preserve">Further Reading </w:t>
      </w:r>
      <w:r>
        <w:rPr>
          <w:rStyle w:val="eop"/>
          <w:rFonts w:ascii="Arial" w:hAnsi="Arial" w:cs="Arial"/>
          <w:b/>
          <w:bCs/>
          <w:color w:val="B3D236"/>
          <w:sz w:val="36"/>
          <w:szCs w:val="36"/>
        </w:rPr>
        <w:t> </w:t>
      </w:r>
    </w:p>
    <w:p w:rsidR="00C24463" w:rsidRDefault="00C24463" w:rsidP="00C24463">
      <w:pPr>
        <w:pStyle w:val="paragraph"/>
        <w:jc w:val="center"/>
        <w:textAlignment w:val="baseline"/>
        <w:rPr>
          <w:b/>
          <w:bCs/>
          <w:color w:val="B3D236"/>
        </w:rPr>
      </w:pPr>
      <w:r>
        <w:rPr>
          <w:rStyle w:val="eop"/>
          <w:rFonts w:ascii="Arial" w:hAnsi="Arial" w:cs="Arial"/>
          <w:b/>
          <w:bCs/>
          <w:color w:val="B3D236"/>
          <w:sz w:val="36"/>
          <w:szCs w:val="36"/>
        </w:rPr>
        <w:t> </w:t>
      </w:r>
    </w:p>
    <w:p w:rsidR="00C24463" w:rsidRDefault="00C24463" w:rsidP="00421052">
      <w:pPr>
        <w:pStyle w:val="paragraph"/>
        <w:jc w:val="center"/>
        <w:textAlignment w:val="baseline"/>
        <w:rPr>
          <w:rStyle w:val="normaltextrun1"/>
          <w:rFonts w:ascii="Calibri" w:hAnsi="Calibri" w:cs="Calibri"/>
          <w:color w:val="222222"/>
          <w:sz w:val="22"/>
          <w:szCs w:val="22"/>
        </w:rPr>
      </w:pPr>
      <w:r>
        <w:rPr>
          <w:rStyle w:val="eop"/>
          <w:rFonts w:ascii="Arial" w:hAnsi="Arial" w:cs="Arial"/>
          <w:b/>
          <w:bCs/>
          <w:color w:val="B3D236"/>
          <w:sz w:val="36"/>
          <w:szCs w:val="36"/>
        </w:rPr>
        <w:t> </w:t>
      </w:r>
    </w:p>
    <w:p w:rsidR="00C24463" w:rsidRPr="00C24463" w:rsidRDefault="00C24463" w:rsidP="00C24463">
      <w:pPr>
        <w:pStyle w:val="paragraph"/>
        <w:ind w:right="2835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C24463">
        <w:rPr>
          <w:rStyle w:val="normaltextrun1"/>
          <w:rFonts w:ascii="Arial" w:hAnsi="Arial" w:cs="Arial"/>
          <w:color w:val="222222"/>
          <w:sz w:val="20"/>
          <w:szCs w:val="20"/>
        </w:rPr>
        <w:t xml:space="preserve">Bruce, T. (2012) </w:t>
      </w:r>
      <w:r w:rsidRPr="00C24463">
        <w:rPr>
          <w:rStyle w:val="normaltextrun1"/>
          <w:rFonts w:ascii="Arial" w:hAnsi="Arial" w:cs="Arial"/>
          <w:i/>
          <w:iCs/>
          <w:color w:val="222222"/>
          <w:sz w:val="20"/>
          <w:szCs w:val="20"/>
        </w:rPr>
        <w:t>Early Childhood Practice Froebel Today</w:t>
      </w:r>
      <w:r w:rsidRPr="00C24463">
        <w:rPr>
          <w:rStyle w:val="normaltextrun1"/>
          <w:rFonts w:ascii="Arial" w:hAnsi="Arial" w:cs="Arial"/>
          <w:color w:val="222222"/>
          <w:sz w:val="20"/>
          <w:szCs w:val="20"/>
        </w:rPr>
        <w:t>. London: SAGE.</w:t>
      </w:r>
      <w:r w:rsidRPr="00C24463">
        <w:rPr>
          <w:rStyle w:val="eop"/>
          <w:rFonts w:ascii="Arial" w:hAnsi="Arial" w:cs="Arial"/>
          <w:color w:val="595959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ind w:right="2835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C24463">
        <w:rPr>
          <w:rStyle w:val="normaltextrun1"/>
          <w:rFonts w:ascii="Arial" w:hAnsi="Arial" w:cs="Arial"/>
          <w:color w:val="222222"/>
          <w:sz w:val="20"/>
          <w:szCs w:val="20"/>
        </w:rPr>
        <w:t> </w:t>
      </w:r>
      <w:r w:rsidRPr="00C24463">
        <w:rPr>
          <w:rStyle w:val="eop"/>
          <w:rFonts w:ascii="Arial" w:hAnsi="Arial" w:cs="Arial"/>
          <w:color w:val="595959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ind w:right="2835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C24463">
        <w:rPr>
          <w:rStyle w:val="normaltextrun1"/>
          <w:rFonts w:ascii="Arial" w:hAnsi="Arial" w:cs="Arial"/>
          <w:color w:val="595959"/>
          <w:sz w:val="20"/>
          <w:szCs w:val="20"/>
        </w:rPr>
        <w:t xml:space="preserve">Bruner, </w:t>
      </w:r>
      <w:proofErr w:type="spellStart"/>
      <w:r w:rsidRPr="00C24463">
        <w:rPr>
          <w:rStyle w:val="normaltextrun1"/>
          <w:rFonts w:ascii="Arial" w:hAnsi="Arial" w:cs="Arial"/>
          <w:color w:val="595959"/>
          <w:sz w:val="20"/>
          <w:szCs w:val="20"/>
        </w:rPr>
        <w:t>J.S</w:t>
      </w:r>
      <w:proofErr w:type="spellEnd"/>
      <w:r w:rsidRPr="00C24463">
        <w:rPr>
          <w:rStyle w:val="normaltextrun1"/>
          <w:rFonts w:ascii="Arial" w:hAnsi="Arial" w:cs="Arial"/>
          <w:color w:val="595959"/>
          <w:sz w:val="20"/>
          <w:szCs w:val="20"/>
        </w:rPr>
        <w:t xml:space="preserve">. (1971) </w:t>
      </w:r>
      <w:r w:rsidRPr="00C24463">
        <w:rPr>
          <w:rStyle w:val="normaltextrun1"/>
          <w:rFonts w:ascii="Arial" w:hAnsi="Arial" w:cs="Arial"/>
          <w:i/>
          <w:iCs/>
          <w:color w:val="595959"/>
          <w:sz w:val="20"/>
          <w:szCs w:val="20"/>
        </w:rPr>
        <w:t>The relevance of education.</w:t>
      </w:r>
      <w:r w:rsidRPr="00C24463">
        <w:rPr>
          <w:rStyle w:val="normaltextrun1"/>
          <w:rFonts w:ascii="Arial" w:hAnsi="Arial" w:cs="Arial"/>
          <w:color w:val="595959"/>
          <w:sz w:val="20"/>
          <w:szCs w:val="20"/>
        </w:rPr>
        <w:t xml:space="preserve"> </w:t>
      </w:r>
      <w:proofErr w:type="spellStart"/>
      <w:r w:rsidRPr="00C24463">
        <w:rPr>
          <w:rStyle w:val="spellingerror"/>
          <w:rFonts w:ascii="Arial" w:hAnsi="Arial" w:cs="Arial"/>
          <w:color w:val="595959"/>
          <w:sz w:val="20"/>
          <w:szCs w:val="20"/>
        </w:rPr>
        <w:t>Troubridge</w:t>
      </w:r>
      <w:proofErr w:type="spellEnd"/>
      <w:r w:rsidRPr="00C24463">
        <w:rPr>
          <w:rStyle w:val="normaltextrun1"/>
          <w:rFonts w:ascii="Arial" w:hAnsi="Arial" w:cs="Arial"/>
          <w:color w:val="595959"/>
          <w:sz w:val="20"/>
          <w:szCs w:val="20"/>
        </w:rPr>
        <w:t>: Redwood Press Limited.</w:t>
      </w:r>
      <w:r w:rsidRPr="00C24463">
        <w:rPr>
          <w:rStyle w:val="eop"/>
          <w:rFonts w:ascii="Arial" w:hAnsi="Arial" w:cs="Arial"/>
          <w:color w:val="595959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ind w:right="2835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C24463">
        <w:rPr>
          <w:rStyle w:val="eop"/>
          <w:rFonts w:ascii="Arial" w:hAnsi="Arial" w:cs="Arial"/>
          <w:color w:val="595959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 xml:space="preserve">Bryce-Clegg, A. (2013)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Continuous Provision in the Early Years – How to plan provision to make a positive impact on children’s learning. </w:t>
      </w:r>
      <w:r w:rsidRPr="00C24463">
        <w:rPr>
          <w:rStyle w:val="normaltextrun1"/>
          <w:rFonts w:ascii="Arial" w:hAnsi="Arial" w:cs="Arial"/>
          <w:sz w:val="20"/>
          <w:szCs w:val="20"/>
        </w:rPr>
        <w:t>Featherstone: London.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>Bryce-Clegg, A. (2015)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 Best Practice in the Early Years. </w:t>
      </w:r>
      <w:r w:rsidRPr="00C24463">
        <w:rPr>
          <w:rStyle w:val="normaltextrun1"/>
          <w:rFonts w:ascii="Arial" w:hAnsi="Arial" w:cs="Arial"/>
          <w:sz w:val="20"/>
          <w:szCs w:val="20"/>
        </w:rPr>
        <w:t>Bloomsbury: London.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 xml:space="preserve">Bryce-Clegg, A, (2016) Ted X, </w:t>
      </w:r>
      <w:hyperlink r:id="rId7" w:tgtFrame="_blank" w:history="1">
        <w:r w:rsidRPr="00C24463">
          <w:rPr>
            <w:rStyle w:val="normaltextrun1"/>
            <w:rFonts w:ascii="Arial" w:hAnsi="Arial" w:cs="Arial"/>
            <w:sz w:val="20"/>
            <w:szCs w:val="20"/>
            <w:u w:val="single"/>
          </w:rPr>
          <w:t>https://www.youtube.com/watch?v=xUUw1R_w3XU</w:t>
        </w:r>
      </w:hyperlink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Building the Ambition, National Practice Guidance on Early Learning and Childcare Children and Young People </w:t>
      </w:r>
      <w:r w:rsidRPr="00C24463">
        <w:rPr>
          <w:rStyle w:val="normaltextrun1"/>
          <w:rFonts w:ascii="Arial" w:hAnsi="Arial" w:cs="Arial"/>
          <w:sz w:val="20"/>
          <w:szCs w:val="20"/>
        </w:rPr>
        <w:t>(2014) Scottish Government, Edinburgh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Building the Curriculum 2, Active Learning in early years, </w:t>
      </w:r>
      <w:r w:rsidRPr="00C24463">
        <w:rPr>
          <w:rStyle w:val="normaltextrun1"/>
          <w:rFonts w:ascii="Arial" w:hAnsi="Arial" w:cs="Arial"/>
          <w:sz w:val="20"/>
          <w:szCs w:val="20"/>
        </w:rPr>
        <w:t>(2007) Scottish Executive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Burns, M. (2018) Please Miss I did that in Nursery: Exploratory study-Starting school: achieving curriculum continuity and progression in children’s learning across the Curriculum for Excellence ‘early level’ from Early Learning and Childcare settings to Primary 1 in Scottish Primary Schools. Unpublished thesis.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rPr>
          <w:rStyle w:val="normaltextrun1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Carlton,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M.P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and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Winsler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(1999) School readiness: The need for a paradigm shift.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School psychology review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28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pp.338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-352.</w:t>
      </w:r>
    </w:p>
    <w:p w:rsidR="00C24463" w:rsidRPr="00C24463" w:rsidRDefault="00C24463" w:rsidP="00C24463">
      <w:pPr>
        <w:pStyle w:val="paragrap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 xml:space="preserve">Casey, T &amp; Robertson, J. (2019)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>Loose Parts Play – A Toolkit</w:t>
      </w:r>
      <w:r w:rsidRPr="00C24463">
        <w:rPr>
          <w:rStyle w:val="normaltextrun1"/>
          <w:rFonts w:ascii="Arial" w:hAnsi="Arial" w:cs="Arial"/>
          <w:sz w:val="20"/>
          <w:szCs w:val="20"/>
        </w:rPr>
        <w:t>. Inspiring Scotland: Edinburgh.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bCs/>
          <w:color w:val="111111"/>
          <w:kern w:val="36"/>
          <w:sz w:val="20"/>
          <w:szCs w:val="20"/>
        </w:rPr>
        <w:t xml:space="preserve">Clark, A. (2017) Listening to Young Children, Expanded Third Edition: A Guide to Understanding and Using the Mosaic Approach, </w:t>
      </w:r>
      <w:r w:rsidRPr="00C24463">
        <w:rPr>
          <w:rFonts w:ascii="Arial" w:hAnsi="Arial" w:cs="Arial"/>
          <w:color w:val="333333"/>
          <w:sz w:val="20"/>
          <w:szCs w:val="20"/>
          <w:shd w:val="clear" w:color="auto" w:fill="FFFFFF"/>
        </w:rPr>
        <w:t>National Children's Bureau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 xml:space="preserve">Dancer, J. &amp; Skinner C. (2013)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The Little Book of Maths Problem-Solving. </w:t>
      </w:r>
      <w:r w:rsidRPr="00C24463">
        <w:rPr>
          <w:rStyle w:val="normaltextrun1"/>
          <w:rFonts w:ascii="Arial" w:hAnsi="Arial" w:cs="Arial"/>
          <w:sz w:val="20"/>
          <w:szCs w:val="20"/>
        </w:rPr>
        <w:t>Featherstone: London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>Early Childhood Education and Care; providing all our children with the best start for the world of tomorrow, (2011) European Commission</w:t>
      </w:r>
    </w:p>
    <w:p w:rsidR="00C24463" w:rsidRPr="00C24463" w:rsidRDefault="00421052" w:rsidP="00C24463">
      <w:pPr>
        <w:pStyle w:val="paragraph"/>
        <w:textAlignment w:val="baseline"/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</w:pPr>
      <w:hyperlink r:id="rId8" w:history="1">
        <w:r w:rsidR="00C24463" w:rsidRPr="00C24463">
          <w:rPr>
            <w:rFonts w:ascii="Arial" w:hAnsi="Arial" w:cs="Arial"/>
            <w:color w:val="0000FF"/>
            <w:sz w:val="20"/>
            <w:szCs w:val="20"/>
            <w:u w:val="single"/>
          </w:rPr>
          <w:t>https://education.gov.scot/improvement</w:t>
        </w:r>
      </w:hyperlink>
    </w:p>
    <w:p w:rsidR="00C24463" w:rsidRPr="00C24463" w:rsidRDefault="00C24463" w:rsidP="00C24463">
      <w:pPr>
        <w:pStyle w:val="paragraph"/>
        <w:textAlignment w:val="baseline"/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</w:pPr>
    </w:p>
    <w:p w:rsidR="00C24463" w:rsidRPr="00C24463" w:rsidRDefault="00C24463" w:rsidP="00C24463">
      <w:pPr>
        <w:rPr>
          <w:rStyle w:val="normaltextrun1"/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Fabian, H. (2003) Empowering children for transitions.  In </w:t>
      </w:r>
      <w:r w:rsidRPr="00C24463">
        <w:rPr>
          <w:rFonts w:ascii="Arial" w:hAnsi="Arial" w:cs="Arial"/>
          <w:i/>
          <w:sz w:val="20"/>
          <w:szCs w:val="20"/>
        </w:rPr>
        <w:t>Transitions for the early years debating continuity and progression for children in early education.</w:t>
      </w:r>
      <w:r w:rsidRPr="00C24463">
        <w:rPr>
          <w:rFonts w:ascii="Arial" w:hAnsi="Arial" w:cs="Arial"/>
          <w:sz w:val="20"/>
          <w:szCs w:val="20"/>
        </w:rPr>
        <w:t xml:space="preserve"> (Eds) Hilary Fabian and Aline-Wendy Dunlop. London: Routledge </w:t>
      </w:r>
      <w:proofErr w:type="spellStart"/>
      <w:r w:rsidRPr="00C24463">
        <w:rPr>
          <w:rFonts w:ascii="Arial" w:hAnsi="Arial" w:cs="Arial"/>
          <w:sz w:val="20"/>
          <w:szCs w:val="20"/>
        </w:rPr>
        <w:t>Falmer</w:t>
      </w:r>
      <w:proofErr w:type="spellEnd"/>
      <w:r w:rsidRPr="00C24463">
        <w:rPr>
          <w:rFonts w:ascii="Arial" w:hAnsi="Arial" w:cs="Arial"/>
          <w:sz w:val="20"/>
          <w:szCs w:val="20"/>
        </w:rPr>
        <w:t>.</w:t>
      </w:r>
    </w:p>
    <w:p w:rsidR="00C24463" w:rsidRPr="00C24463" w:rsidRDefault="00C24463" w:rsidP="00C24463">
      <w:pPr>
        <w:pStyle w:val="paragraph"/>
        <w:textAlignment w:val="baseline"/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</w:pP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  <w:t xml:space="preserve">Fisher, J. (2013). </w:t>
      </w:r>
      <w:r w:rsidRPr="00C24463">
        <w:rPr>
          <w:rStyle w:val="normaltextrun1"/>
          <w:rFonts w:ascii="Arial" w:hAnsi="Arial" w:cs="Arial"/>
          <w:i/>
          <w:iCs/>
          <w:color w:val="000000"/>
          <w:sz w:val="20"/>
          <w:szCs w:val="20"/>
          <w:lang w:val="en"/>
        </w:rPr>
        <w:t>Starting from the child: teaching and learning in the foundation stage.</w:t>
      </w:r>
      <w:r w:rsidRPr="00C24463"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  <w:t>. 4th ed. Open University Press.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lastRenderedPageBreak/>
        <w:t xml:space="preserve">Fisher, J. (2016)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Interacting or Interfering? Improving Interactions in the Early Years. </w:t>
      </w:r>
      <w:r w:rsidRPr="00C24463">
        <w:rPr>
          <w:rStyle w:val="normaltextrun1"/>
          <w:rFonts w:ascii="Arial" w:hAnsi="Arial" w:cs="Arial"/>
          <w:sz w:val="20"/>
          <w:szCs w:val="20"/>
        </w:rPr>
        <w:t>Open University Press: London.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Style w:val="Hyperlink"/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Harvard </w:t>
      </w:r>
      <w:proofErr w:type="spellStart"/>
      <w:r w:rsidRPr="00C24463">
        <w:rPr>
          <w:rFonts w:ascii="Arial" w:hAnsi="Arial" w:cs="Arial"/>
          <w:sz w:val="20"/>
          <w:szCs w:val="20"/>
        </w:rPr>
        <w:t>Center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 on the Developing Child. </w:t>
      </w:r>
      <w:r w:rsidRPr="00C24463">
        <w:rPr>
          <w:rFonts w:ascii="Arial" w:hAnsi="Arial" w:cs="Arial"/>
          <w:i/>
          <w:iCs/>
          <w:sz w:val="20"/>
          <w:szCs w:val="20"/>
        </w:rPr>
        <w:t>A guide to executive function</w:t>
      </w:r>
      <w:r w:rsidRPr="00C24463">
        <w:rPr>
          <w:rFonts w:ascii="Arial" w:hAnsi="Arial" w:cs="Arial"/>
          <w:sz w:val="20"/>
          <w:szCs w:val="20"/>
        </w:rPr>
        <w:t xml:space="preserve">. Online at </w:t>
      </w:r>
      <w:hyperlink r:id="rId9" w:history="1">
        <w:r w:rsidRPr="00C24463">
          <w:rPr>
            <w:rStyle w:val="Hyperlink"/>
            <w:rFonts w:ascii="Arial" w:hAnsi="Arial" w:cs="Arial"/>
            <w:sz w:val="20"/>
            <w:szCs w:val="20"/>
          </w:rPr>
          <w:t>https://developingchild.harvard.edu/guide/a-guide-to-executive-function/</w:t>
        </w:r>
      </w:hyperlink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pStyle w:val="BodyTextIndent"/>
        <w:spacing w:line="240" w:lineRule="auto"/>
        <w:ind w:left="0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C24463">
        <w:rPr>
          <w:rFonts w:ascii="Arial" w:hAnsi="Arial" w:cs="Arial"/>
          <w:sz w:val="20"/>
          <w:szCs w:val="20"/>
          <w:lang w:eastAsia="en-GB"/>
        </w:rPr>
        <w:t>Isaccs</w:t>
      </w:r>
      <w:proofErr w:type="spellEnd"/>
      <w:r w:rsidRPr="00C24463">
        <w:rPr>
          <w:rFonts w:ascii="Arial" w:hAnsi="Arial" w:cs="Arial"/>
          <w:sz w:val="20"/>
          <w:szCs w:val="20"/>
          <w:lang w:eastAsia="en-GB"/>
        </w:rPr>
        <w:t xml:space="preserve">, S. (1930) </w:t>
      </w:r>
      <w:r w:rsidRPr="00C24463">
        <w:rPr>
          <w:rFonts w:ascii="Arial" w:hAnsi="Arial" w:cs="Arial"/>
          <w:i/>
          <w:sz w:val="20"/>
          <w:szCs w:val="20"/>
          <w:lang w:eastAsia="en-GB"/>
        </w:rPr>
        <w:t>Intellectual Growth in Young Children</w:t>
      </w:r>
      <w:r w:rsidRPr="00C24463">
        <w:rPr>
          <w:rFonts w:ascii="Arial" w:hAnsi="Arial" w:cs="Arial"/>
          <w:sz w:val="20"/>
          <w:szCs w:val="20"/>
          <w:lang w:eastAsia="en-GB"/>
        </w:rPr>
        <w:t>. London: Routledge and Kegan Paul.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Lewis- </w:t>
      </w:r>
      <w:proofErr w:type="spellStart"/>
      <w:r w:rsidRPr="00C24463">
        <w:rPr>
          <w:rFonts w:ascii="Arial" w:hAnsi="Arial" w:cs="Arial"/>
          <w:sz w:val="20"/>
          <w:szCs w:val="20"/>
        </w:rPr>
        <w:t>Benham</w:t>
      </w:r>
      <w:proofErr w:type="spellEnd"/>
      <w:r w:rsidRPr="00C24463">
        <w:rPr>
          <w:rFonts w:ascii="Arial" w:hAnsi="Arial" w:cs="Arial"/>
          <w:sz w:val="20"/>
          <w:szCs w:val="20"/>
        </w:rPr>
        <w:t>, A. (2011) Twelve Best Practices for Early Childhood Education: Integrating Reggio and Other Inspired Approaches. New York: Teachers College Press.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Margetts, K. (2003) Planning transition programmes. In </w:t>
      </w:r>
      <w:r w:rsidRPr="00C24463">
        <w:rPr>
          <w:rFonts w:ascii="Arial" w:hAnsi="Arial" w:cs="Arial"/>
          <w:i/>
          <w:sz w:val="20"/>
          <w:szCs w:val="20"/>
        </w:rPr>
        <w:t>Transitions for the early years debating continuity and progression for children in early education.</w:t>
      </w:r>
      <w:r w:rsidRPr="00C24463">
        <w:rPr>
          <w:rFonts w:ascii="Arial" w:hAnsi="Arial" w:cs="Arial"/>
          <w:sz w:val="20"/>
          <w:szCs w:val="20"/>
        </w:rPr>
        <w:t xml:space="preserve"> (Eds) Hilary Fabian and Aline-Wendy Dunlop. London: Routledge </w:t>
      </w:r>
      <w:proofErr w:type="spellStart"/>
      <w:r w:rsidRPr="00C24463">
        <w:rPr>
          <w:rFonts w:ascii="Arial" w:hAnsi="Arial" w:cs="Arial"/>
          <w:sz w:val="20"/>
          <w:szCs w:val="20"/>
        </w:rPr>
        <w:t>Falmer</w:t>
      </w:r>
      <w:proofErr w:type="spellEnd"/>
      <w:r w:rsidRPr="00C24463">
        <w:rPr>
          <w:rFonts w:ascii="Arial" w:hAnsi="Arial" w:cs="Arial"/>
          <w:sz w:val="20"/>
          <w:szCs w:val="20"/>
        </w:rPr>
        <w:t>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color w:val="1C1D1E"/>
          <w:sz w:val="20"/>
          <w:szCs w:val="20"/>
          <w:shd w:val="clear" w:color="auto" w:fill="FFFFFF"/>
        </w:rPr>
      </w:pPr>
      <w:proofErr w:type="spellStart"/>
      <w:r w:rsidRPr="00C24463">
        <w:rPr>
          <w:rFonts w:ascii="Arial" w:hAnsi="Arial" w:cs="Arial"/>
          <w:color w:val="1C1D1E"/>
          <w:sz w:val="20"/>
          <w:szCs w:val="20"/>
          <w:shd w:val="clear" w:color="auto" w:fill="FFFFFF"/>
        </w:rPr>
        <w:t>Masten</w:t>
      </w:r>
      <w:proofErr w:type="spellEnd"/>
      <w:r w:rsidRPr="00C24463">
        <w:rPr>
          <w:rFonts w:ascii="Arial" w:hAnsi="Arial" w:cs="Arial"/>
          <w:color w:val="1C1D1E"/>
          <w:sz w:val="20"/>
          <w:szCs w:val="20"/>
          <w:shd w:val="clear" w:color="auto" w:fill="FFFFFF"/>
        </w:rPr>
        <w:t xml:space="preserve">, A. S. and </w:t>
      </w:r>
      <w:proofErr w:type="spellStart"/>
      <w:r w:rsidRPr="00C24463">
        <w:rPr>
          <w:rFonts w:ascii="Arial" w:hAnsi="Arial" w:cs="Arial"/>
          <w:color w:val="1C1D1E"/>
          <w:sz w:val="20"/>
          <w:szCs w:val="20"/>
          <w:shd w:val="clear" w:color="auto" w:fill="FFFFFF"/>
        </w:rPr>
        <w:t>Gewirtz</w:t>
      </w:r>
      <w:proofErr w:type="spellEnd"/>
      <w:r w:rsidRPr="00C24463">
        <w:rPr>
          <w:rFonts w:ascii="Arial" w:hAnsi="Arial" w:cs="Arial"/>
          <w:color w:val="1C1D1E"/>
          <w:sz w:val="20"/>
          <w:szCs w:val="20"/>
          <w:shd w:val="clear" w:color="auto" w:fill="FFFFFF"/>
        </w:rPr>
        <w:t>, A. H. (2008) Vulnerability and Resilience in Early Child Development. In Blackwell Handbook of Early Childhood Development (</w:t>
      </w:r>
      <w:proofErr w:type="spellStart"/>
      <w:r w:rsidRPr="00C24463">
        <w:rPr>
          <w:rFonts w:ascii="Arial" w:hAnsi="Arial" w:cs="Arial"/>
          <w:color w:val="1C1D1E"/>
          <w:sz w:val="20"/>
          <w:szCs w:val="20"/>
          <w:shd w:val="clear" w:color="auto" w:fill="FFFFFF"/>
        </w:rPr>
        <w:t>eds</w:t>
      </w:r>
      <w:proofErr w:type="spellEnd"/>
      <w:r w:rsidRPr="00C24463">
        <w:rPr>
          <w:rFonts w:ascii="Arial" w:hAnsi="Arial" w:cs="Arial"/>
          <w:color w:val="1C1D1E"/>
          <w:sz w:val="20"/>
          <w:szCs w:val="20"/>
          <w:shd w:val="clear" w:color="auto" w:fill="FFFFFF"/>
        </w:rPr>
        <w:t xml:space="preserve"> K. McCartney and D. Phillips). </w:t>
      </w:r>
    </w:p>
    <w:p w:rsidR="00C24463" w:rsidRPr="00C24463" w:rsidRDefault="00C24463" w:rsidP="00C24463">
      <w:pPr>
        <w:rPr>
          <w:rFonts w:ascii="Arial" w:hAnsi="Arial" w:cs="Arial"/>
          <w:color w:val="1C1D1E"/>
          <w:sz w:val="20"/>
          <w:szCs w:val="20"/>
          <w:shd w:val="clear" w:color="auto" w:fill="FFFFFF"/>
        </w:rPr>
      </w:pP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Meins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Fernyhough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 and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Centifanti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, L.C., (2018) Mothers' early mind</w:t>
      </w:r>
      <w:r w:rsidRPr="00C24463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mindedness predicts educational attainment in socially and economically disadvantaged British children.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Child development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proofErr w:type="spellStart"/>
      <w:r w:rsidRPr="00C24463">
        <w:rPr>
          <w:rFonts w:ascii="Arial" w:hAnsi="Arial" w:cs="Arial"/>
          <w:sz w:val="20"/>
          <w:szCs w:val="20"/>
        </w:rPr>
        <w:t>Melhuish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E., </w:t>
      </w:r>
      <w:proofErr w:type="spellStart"/>
      <w:r w:rsidRPr="00C24463">
        <w:rPr>
          <w:rFonts w:ascii="Arial" w:hAnsi="Arial" w:cs="Arial"/>
          <w:sz w:val="20"/>
          <w:szCs w:val="20"/>
        </w:rPr>
        <w:t>Ereky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-Stevens, K., </w:t>
      </w:r>
      <w:proofErr w:type="spellStart"/>
      <w:r w:rsidRPr="00C24463">
        <w:rPr>
          <w:rFonts w:ascii="Arial" w:hAnsi="Arial" w:cs="Arial"/>
          <w:sz w:val="20"/>
          <w:szCs w:val="20"/>
        </w:rPr>
        <w:t>Petrogiannis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K., </w:t>
      </w:r>
      <w:proofErr w:type="spellStart"/>
      <w:r w:rsidRPr="00C24463">
        <w:rPr>
          <w:rFonts w:ascii="Arial" w:hAnsi="Arial" w:cs="Arial"/>
          <w:sz w:val="20"/>
          <w:szCs w:val="20"/>
        </w:rPr>
        <w:t>Ariescu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C24463">
        <w:rPr>
          <w:rFonts w:ascii="Arial" w:hAnsi="Arial" w:cs="Arial"/>
          <w:sz w:val="20"/>
          <w:szCs w:val="20"/>
        </w:rPr>
        <w:t>Penderi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E., </w:t>
      </w:r>
      <w:proofErr w:type="spellStart"/>
      <w:r w:rsidRPr="00C24463">
        <w:rPr>
          <w:rFonts w:ascii="Arial" w:hAnsi="Arial" w:cs="Arial"/>
          <w:sz w:val="20"/>
          <w:szCs w:val="20"/>
        </w:rPr>
        <w:t>Rentzou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K., Alice </w:t>
      </w:r>
      <w:proofErr w:type="spellStart"/>
      <w:r w:rsidRPr="00C24463">
        <w:rPr>
          <w:rFonts w:ascii="Arial" w:hAnsi="Arial" w:cs="Arial"/>
          <w:sz w:val="20"/>
          <w:szCs w:val="20"/>
        </w:rPr>
        <w:t>Tawell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Slot, P., </w:t>
      </w:r>
      <w:proofErr w:type="spellStart"/>
      <w:r w:rsidRPr="00C24463">
        <w:rPr>
          <w:rFonts w:ascii="Arial" w:hAnsi="Arial" w:cs="Arial"/>
          <w:sz w:val="20"/>
          <w:szCs w:val="20"/>
        </w:rPr>
        <w:t>Broekhuizen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M., and </w:t>
      </w:r>
      <w:proofErr w:type="spellStart"/>
      <w:r w:rsidRPr="00C24463">
        <w:rPr>
          <w:rFonts w:ascii="Arial" w:hAnsi="Arial" w:cs="Arial"/>
          <w:sz w:val="20"/>
          <w:szCs w:val="20"/>
        </w:rPr>
        <w:t>Leseman</w:t>
      </w:r>
      <w:proofErr w:type="spellEnd"/>
      <w:r w:rsidRPr="00C24463">
        <w:rPr>
          <w:rFonts w:ascii="Arial" w:hAnsi="Arial" w:cs="Arial"/>
          <w:sz w:val="20"/>
          <w:szCs w:val="20"/>
        </w:rPr>
        <w:t>, P. (2015) Curriculum Quality Analysis and Impact Review of European Early Childhood, Education and Care (</w:t>
      </w:r>
      <w:proofErr w:type="spellStart"/>
      <w:r w:rsidRPr="00C24463">
        <w:rPr>
          <w:rFonts w:ascii="Arial" w:hAnsi="Arial" w:cs="Arial"/>
          <w:sz w:val="20"/>
          <w:szCs w:val="20"/>
        </w:rPr>
        <w:t>ECEC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24463">
        <w:rPr>
          <w:rFonts w:ascii="Arial" w:hAnsi="Arial" w:cs="Arial"/>
          <w:sz w:val="20"/>
          <w:szCs w:val="20"/>
        </w:rPr>
        <w:t>D4.1</w:t>
      </w:r>
      <w:proofErr w:type="spellEnd"/>
      <w:r w:rsidRPr="00C24463">
        <w:rPr>
          <w:rFonts w:ascii="Arial" w:hAnsi="Arial" w:cs="Arial"/>
          <w:sz w:val="20"/>
          <w:szCs w:val="20"/>
        </w:rPr>
        <w:t>: A review of research on the effects of Early Childhood Education and Care (</w:t>
      </w:r>
      <w:proofErr w:type="spellStart"/>
      <w:r w:rsidRPr="00C24463">
        <w:rPr>
          <w:rFonts w:ascii="Arial" w:hAnsi="Arial" w:cs="Arial"/>
          <w:sz w:val="20"/>
          <w:szCs w:val="20"/>
        </w:rPr>
        <w:t>ECEC</w:t>
      </w:r>
      <w:proofErr w:type="spellEnd"/>
      <w:r w:rsidRPr="00C24463">
        <w:rPr>
          <w:rFonts w:ascii="Arial" w:hAnsi="Arial" w:cs="Arial"/>
          <w:sz w:val="20"/>
          <w:szCs w:val="20"/>
        </w:rPr>
        <w:t>) upon child development (CARE) University of Oxford.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Mortensen, J.A. and Barnett, M.A., (2015) Teacher–child interactions in infant/toddler child care and socioemotional development.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Early Education and Development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26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(2),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pp.209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-229.</w:t>
      </w: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24463" w:rsidRPr="00C24463" w:rsidRDefault="00C24463" w:rsidP="00C244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C24463">
        <w:rPr>
          <w:rFonts w:ascii="Arial" w:hAnsi="Arial" w:cs="Arial"/>
          <w:sz w:val="20"/>
          <w:szCs w:val="20"/>
        </w:rPr>
        <w:t>Moyles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J. (2015) Starting with play: taking play seriously. In, </w:t>
      </w:r>
      <w:r w:rsidRPr="00C24463">
        <w:rPr>
          <w:rFonts w:ascii="Arial" w:hAnsi="Arial" w:cs="Arial"/>
          <w:i/>
          <w:sz w:val="20"/>
          <w:szCs w:val="20"/>
        </w:rPr>
        <w:t>The Excellence of Play.</w:t>
      </w:r>
      <w:r w:rsidRPr="00C24463">
        <w:rPr>
          <w:rFonts w:ascii="Arial" w:hAnsi="Arial" w:cs="Arial"/>
          <w:sz w:val="20"/>
          <w:szCs w:val="20"/>
        </w:rPr>
        <w:t xml:space="preserve"> 4</w:t>
      </w:r>
      <w:r w:rsidRPr="00C24463">
        <w:rPr>
          <w:rFonts w:ascii="Arial" w:hAnsi="Arial" w:cs="Arial"/>
          <w:sz w:val="20"/>
          <w:szCs w:val="20"/>
          <w:vertAlign w:val="superscript"/>
        </w:rPr>
        <w:t>th</w:t>
      </w:r>
      <w:r w:rsidRPr="00C24463">
        <w:rPr>
          <w:rFonts w:ascii="Arial" w:hAnsi="Arial" w:cs="Arial"/>
          <w:sz w:val="20"/>
          <w:szCs w:val="20"/>
        </w:rPr>
        <w:t xml:space="preserve"> Edition. Janet </w:t>
      </w:r>
      <w:proofErr w:type="spellStart"/>
      <w:r w:rsidRPr="00C24463">
        <w:rPr>
          <w:rFonts w:ascii="Arial" w:hAnsi="Arial" w:cs="Arial"/>
          <w:sz w:val="20"/>
          <w:szCs w:val="20"/>
        </w:rPr>
        <w:t>Moyles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 (Ed). Berkshire: Open University Press.</w:t>
      </w:r>
    </w:p>
    <w:p w:rsidR="00C24463" w:rsidRPr="00C24463" w:rsidRDefault="00C24463" w:rsidP="00C244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Mc </w:t>
      </w:r>
      <w:proofErr w:type="spellStart"/>
      <w:r w:rsidRPr="00C24463">
        <w:rPr>
          <w:rFonts w:ascii="Arial" w:hAnsi="Arial" w:cs="Arial"/>
          <w:sz w:val="20"/>
          <w:szCs w:val="20"/>
        </w:rPr>
        <w:t>Quarrie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S., Nugent, C., and Warden, C. (2013) Learning with nature and learning from others: nature as setting and resource for early childhood education, Journal of Adventure Education and Outdoor Learning, 15:1, 1-23, </w:t>
      </w:r>
      <w:proofErr w:type="spellStart"/>
      <w:r w:rsidRPr="00C24463">
        <w:rPr>
          <w:rFonts w:ascii="Arial" w:hAnsi="Arial" w:cs="Arial"/>
          <w:sz w:val="20"/>
          <w:szCs w:val="20"/>
        </w:rPr>
        <w:t>DOI</w:t>
      </w:r>
      <w:proofErr w:type="spellEnd"/>
      <w:r w:rsidRPr="00C24463">
        <w:rPr>
          <w:rFonts w:ascii="Arial" w:hAnsi="Arial" w:cs="Arial"/>
          <w:sz w:val="20"/>
          <w:szCs w:val="20"/>
        </w:rPr>
        <w:t>: 10.1080/14729679.2013.841095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proofErr w:type="spellStart"/>
      <w:r w:rsidRPr="00C24463">
        <w:rPr>
          <w:rFonts w:ascii="Arial" w:hAnsi="Arial" w:cs="Arial"/>
          <w:sz w:val="20"/>
          <w:szCs w:val="20"/>
        </w:rPr>
        <w:t>Nutbrown</w:t>
      </w:r>
      <w:proofErr w:type="spellEnd"/>
      <w:r w:rsidRPr="00C24463">
        <w:rPr>
          <w:rFonts w:ascii="Arial" w:hAnsi="Arial" w:cs="Arial"/>
          <w:sz w:val="20"/>
          <w:szCs w:val="20"/>
        </w:rPr>
        <w:t>, K. (1996) Respectful Educators – Capable Learners: Children’s Rights and Early Education: London: Paul Chapman Publishing.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O’Connor, A. (2018) </w:t>
      </w:r>
      <w:r w:rsidRPr="00C24463">
        <w:rPr>
          <w:rFonts w:ascii="Arial" w:hAnsi="Arial" w:cs="Arial"/>
          <w:i/>
          <w:sz w:val="20"/>
          <w:szCs w:val="20"/>
        </w:rPr>
        <w:t>Understanding Transition in the Early Years: Supporting Change through Attachment and Resilience</w:t>
      </w:r>
      <w:r w:rsidRPr="00C24463">
        <w:rPr>
          <w:rFonts w:ascii="Arial" w:hAnsi="Arial" w:cs="Arial"/>
          <w:sz w:val="20"/>
          <w:szCs w:val="20"/>
        </w:rPr>
        <w:t>. Abingdon, Oxon: Routledge.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iCs/>
          <w:sz w:val="20"/>
          <w:szCs w:val="20"/>
        </w:rPr>
        <w:t xml:space="preserve">OECD (2017) </w:t>
      </w:r>
      <w:r w:rsidRPr="00C24463">
        <w:rPr>
          <w:rFonts w:ascii="Arial" w:hAnsi="Arial" w:cs="Arial"/>
          <w:i/>
          <w:iCs/>
          <w:sz w:val="20"/>
          <w:szCs w:val="20"/>
        </w:rPr>
        <w:t>Starting Strong V:</w:t>
      </w:r>
      <w:r w:rsidRPr="00C24463">
        <w:rPr>
          <w:rFonts w:ascii="Arial" w:hAnsi="Arial" w:cs="Arial"/>
          <w:iCs/>
          <w:sz w:val="20"/>
          <w:szCs w:val="20"/>
        </w:rPr>
        <w:t xml:space="preserve"> </w:t>
      </w:r>
      <w:r w:rsidRPr="00C24463">
        <w:rPr>
          <w:rFonts w:ascii="Arial" w:hAnsi="Arial" w:cs="Arial"/>
          <w:i/>
          <w:sz w:val="20"/>
          <w:szCs w:val="20"/>
        </w:rPr>
        <w:t xml:space="preserve">Transitions From Early Childhood Education and Care to Primary Education. </w:t>
      </w:r>
      <w:r w:rsidRPr="00C24463">
        <w:rPr>
          <w:rFonts w:ascii="Arial" w:hAnsi="Arial" w:cs="Arial"/>
          <w:sz w:val="20"/>
          <w:szCs w:val="20"/>
        </w:rPr>
        <w:t>Paris</w:t>
      </w:r>
      <w:r w:rsidRPr="00C24463">
        <w:rPr>
          <w:rFonts w:ascii="Arial" w:hAnsi="Arial" w:cs="Arial"/>
          <w:i/>
          <w:sz w:val="20"/>
          <w:szCs w:val="20"/>
        </w:rPr>
        <w:t xml:space="preserve">: </w:t>
      </w:r>
      <w:r w:rsidRPr="00C24463">
        <w:rPr>
          <w:rFonts w:ascii="Arial" w:hAnsi="Arial" w:cs="Arial"/>
          <w:sz w:val="20"/>
          <w:szCs w:val="20"/>
        </w:rPr>
        <w:t>OECD Publishing.</w:t>
      </w:r>
    </w:p>
    <w:p w:rsidR="00C24463" w:rsidRPr="00C24463" w:rsidRDefault="00C24463" w:rsidP="00C244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24463">
        <w:rPr>
          <w:rFonts w:ascii="Arial" w:hAnsi="Arial" w:cs="Arial"/>
          <w:color w:val="000000"/>
          <w:sz w:val="20"/>
          <w:szCs w:val="20"/>
          <w:lang w:val="en-US"/>
        </w:rPr>
        <w:t xml:space="preserve">OECD (2018) </w:t>
      </w:r>
      <w:r w:rsidRPr="00C2446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Engaging Young Children: Lessons from Research about Quality in Early Childhood Education and Care</w:t>
      </w:r>
      <w:r w:rsidRPr="00C24463">
        <w:rPr>
          <w:rFonts w:ascii="Arial" w:hAnsi="Arial" w:cs="Arial"/>
          <w:color w:val="000000"/>
          <w:sz w:val="20"/>
          <w:szCs w:val="20"/>
          <w:lang w:val="en-US"/>
        </w:rPr>
        <w:t xml:space="preserve">, Starting Strong, Paris: OECD Publishing, </w:t>
      </w:r>
      <w:r w:rsidRPr="00C2446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http://dx.doi.org/10.1787/9789264085145-en </w:t>
      </w: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Oh,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D.L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Jerman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Marques, S.S.,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Koita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Boparai,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S.K.P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Harris, N.B. and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Bucci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2018. Systematic review of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health outcomes associated with childhood adversity.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 xml:space="preserve">BMC </w:t>
      </w:r>
      <w:proofErr w:type="spellStart"/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pediatrics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18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(1),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p.83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 xml:space="preserve">Parker, R and </w:t>
      </w:r>
      <w:proofErr w:type="spellStart"/>
      <w:r w:rsidRPr="00C24463">
        <w:rPr>
          <w:rStyle w:val="normaltextrun1"/>
          <w:rFonts w:ascii="Arial" w:hAnsi="Arial" w:cs="Arial"/>
          <w:sz w:val="20"/>
          <w:szCs w:val="20"/>
        </w:rPr>
        <w:t>Stjerne</w:t>
      </w:r>
      <w:proofErr w:type="spellEnd"/>
      <w:r w:rsidRPr="00C24463">
        <w:rPr>
          <w:rStyle w:val="normaltextrun1"/>
          <w:rFonts w:ascii="Arial" w:hAnsi="Arial" w:cs="Arial"/>
          <w:sz w:val="20"/>
          <w:szCs w:val="20"/>
        </w:rPr>
        <w:t xml:space="preserve"> Thomsen, B. (2019)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Learning through play at school. </w:t>
      </w:r>
      <w:r w:rsidRPr="00C24463">
        <w:rPr>
          <w:rStyle w:val="normaltextrun1"/>
          <w:rFonts w:ascii="Arial" w:hAnsi="Arial" w:cs="Arial"/>
          <w:sz w:val="20"/>
          <w:szCs w:val="20"/>
        </w:rPr>
        <w:t>Lego Foundation: Denmark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normaltextrun1"/>
          <w:rFonts w:ascii="Arial" w:hAnsi="Arial" w:cs="Arial"/>
          <w:i/>
          <w:iCs/>
          <w:sz w:val="20"/>
          <w:szCs w:val="20"/>
        </w:rPr>
      </w:pPr>
    </w:p>
    <w:p w:rsidR="00C24463" w:rsidRPr="00C24463" w:rsidRDefault="00C24463" w:rsidP="00C24463">
      <w:pPr>
        <w:rPr>
          <w:rStyle w:val="normaltextrun1"/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Peters, S. (2015) International dimensions of play and transitions. In </w:t>
      </w:r>
      <w:r w:rsidRPr="00C24463">
        <w:rPr>
          <w:rFonts w:ascii="Arial" w:hAnsi="Arial" w:cs="Arial"/>
          <w:i/>
          <w:sz w:val="20"/>
          <w:szCs w:val="20"/>
        </w:rPr>
        <w:t>The Excellence of Play.</w:t>
      </w:r>
      <w:r w:rsidRPr="00C24463">
        <w:rPr>
          <w:rFonts w:ascii="Arial" w:hAnsi="Arial" w:cs="Arial"/>
          <w:sz w:val="20"/>
          <w:szCs w:val="20"/>
        </w:rPr>
        <w:t xml:space="preserve"> 4</w:t>
      </w:r>
      <w:r w:rsidRPr="00C24463">
        <w:rPr>
          <w:rFonts w:ascii="Arial" w:hAnsi="Arial" w:cs="Arial"/>
          <w:sz w:val="20"/>
          <w:szCs w:val="20"/>
          <w:vertAlign w:val="superscript"/>
        </w:rPr>
        <w:t>th</w:t>
      </w:r>
      <w:r w:rsidRPr="00C24463">
        <w:rPr>
          <w:rFonts w:ascii="Arial" w:hAnsi="Arial" w:cs="Arial"/>
          <w:sz w:val="20"/>
          <w:szCs w:val="20"/>
        </w:rPr>
        <w:t xml:space="preserve"> Edition. Janet </w:t>
      </w:r>
      <w:proofErr w:type="spellStart"/>
      <w:r w:rsidRPr="00C24463">
        <w:rPr>
          <w:rFonts w:ascii="Arial" w:hAnsi="Arial" w:cs="Arial"/>
          <w:sz w:val="20"/>
          <w:szCs w:val="20"/>
        </w:rPr>
        <w:t>Moyles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 (Ed). Berkshire: Open University Press.</w:t>
      </w:r>
    </w:p>
    <w:p w:rsidR="00C24463" w:rsidRPr="00C24463" w:rsidRDefault="00C24463" w:rsidP="00C24463">
      <w:pPr>
        <w:pStyle w:val="paragraph"/>
        <w:textAlignment w:val="baseline"/>
        <w:rPr>
          <w:rStyle w:val="normaltextrun1"/>
          <w:rFonts w:ascii="Arial" w:hAnsi="Arial" w:cs="Arial"/>
          <w:i/>
          <w:iCs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lastRenderedPageBreak/>
        <w:t>Playful learning, Innovating Pedagogy, (2019) Open University Innovation Report 7</w:t>
      </w:r>
      <w:r w:rsidRPr="00C24463">
        <w:rPr>
          <w:rStyle w:val="normaltextrun1"/>
          <w:rFonts w:ascii="Arial" w:hAnsi="Arial" w:cs="Arial"/>
          <w:sz w:val="20"/>
          <w:szCs w:val="20"/>
        </w:rPr>
        <w:t>,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bCs/>
          <w:sz w:val="20"/>
          <w:szCs w:val="20"/>
        </w:rPr>
      </w:pPr>
      <w:proofErr w:type="spellStart"/>
      <w:r w:rsidRPr="00C24463">
        <w:rPr>
          <w:rFonts w:ascii="Arial" w:hAnsi="Arial" w:cs="Arial"/>
          <w:bCs/>
          <w:sz w:val="20"/>
          <w:szCs w:val="20"/>
        </w:rPr>
        <w:t>Pramling</w:t>
      </w:r>
      <w:proofErr w:type="spellEnd"/>
      <w:r w:rsidRPr="00C24463">
        <w:rPr>
          <w:rFonts w:ascii="Arial" w:hAnsi="Arial" w:cs="Arial"/>
          <w:bCs/>
          <w:sz w:val="20"/>
          <w:szCs w:val="20"/>
        </w:rPr>
        <w:t>-Samuelsson, Rinaldi, C. (2013) Re-imagining Childhood, The Inspiration of Reggio Emelia Principles in South Australia, Government of South Australia.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 xml:space="preserve">Robertson, J. (2017)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Messy Maths – A Playful, Outdoor Approach for Early Years. </w:t>
      </w:r>
      <w:r w:rsidRPr="00C24463">
        <w:rPr>
          <w:rStyle w:val="normaltextrun1"/>
          <w:rFonts w:ascii="Arial" w:hAnsi="Arial" w:cs="Arial"/>
          <w:sz w:val="20"/>
          <w:szCs w:val="20"/>
        </w:rPr>
        <w:t>Independent Thinking Press: Wales.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Robertson, J. (2008) Swedish Forest School. Creative Star Learning Company. </w:t>
      </w:r>
      <w:hyperlink r:id="rId10" w:history="1">
        <w:r w:rsidRPr="00C2446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www.creativestarlearning.co.uk</w:t>
        </w:r>
      </w:hyperlink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>Robinson, M (2003</w:t>
      </w:r>
      <w:r w:rsidRPr="00C24463">
        <w:rPr>
          <w:rFonts w:ascii="Arial" w:hAnsi="Arial" w:cs="Arial"/>
          <w:i/>
          <w:sz w:val="20"/>
          <w:szCs w:val="20"/>
        </w:rPr>
        <w:t>) From Birth to One: The year of opportunity</w:t>
      </w:r>
      <w:r w:rsidRPr="00C24463">
        <w:rPr>
          <w:rFonts w:ascii="Arial" w:hAnsi="Arial" w:cs="Arial"/>
          <w:sz w:val="20"/>
          <w:szCs w:val="20"/>
        </w:rPr>
        <w:t>. Buckingham, UK: Open University Press.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Rogoff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(2003)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The cultural nature of human development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. Oxford University Press.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>Scott-</w:t>
      </w:r>
      <w:proofErr w:type="spellStart"/>
      <w:r w:rsidRPr="00C24463">
        <w:rPr>
          <w:rStyle w:val="normaltextrun1"/>
          <w:rFonts w:ascii="Arial" w:hAnsi="Arial" w:cs="Arial"/>
          <w:sz w:val="20"/>
          <w:szCs w:val="20"/>
        </w:rPr>
        <w:t>McKie</w:t>
      </w:r>
      <w:proofErr w:type="spellEnd"/>
      <w:r w:rsidRPr="00C24463">
        <w:rPr>
          <w:rStyle w:val="normaltextrun1"/>
          <w:rFonts w:ascii="Arial" w:hAnsi="Arial" w:cs="Arial"/>
          <w:sz w:val="20"/>
          <w:szCs w:val="20"/>
        </w:rPr>
        <w:t xml:space="preserve"> &amp; Casey, T. (2017)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Play Types Toolkit Bringing more play into the school day. </w:t>
      </w:r>
      <w:r w:rsidRPr="00C24463">
        <w:rPr>
          <w:rStyle w:val="normaltextrun1"/>
          <w:rFonts w:ascii="Arial" w:hAnsi="Arial" w:cs="Arial"/>
          <w:sz w:val="20"/>
          <w:szCs w:val="20"/>
        </w:rPr>
        <w:t>Play Scotland: Edinburgh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SEED (2003) </w:t>
      </w:r>
      <w:r w:rsidRPr="00C24463">
        <w:rPr>
          <w:rFonts w:ascii="Arial" w:hAnsi="Arial" w:cs="Arial"/>
          <w:i/>
          <w:sz w:val="20"/>
          <w:szCs w:val="20"/>
        </w:rPr>
        <w:t>A Response to the National Debate on Education, Educating for Excellence Choice and Opportunity</w:t>
      </w:r>
      <w:r w:rsidRPr="00C24463">
        <w:rPr>
          <w:rFonts w:ascii="Arial" w:hAnsi="Arial" w:cs="Arial"/>
          <w:sz w:val="20"/>
          <w:szCs w:val="20"/>
        </w:rPr>
        <w:t>. Edinburgh: Stationery Office.</w:t>
      </w: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Siegel,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D.J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. (2015)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The developing mind: How relationships and the brain interact to shape who we are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. Guilford Publications.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24463">
        <w:rPr>
          <w:rFonts w:ascii="Arial" w:hAnsi="Arial" w:cs="Arial"/>
          <w:color w:val="000000"/>
          <w:sz w:val="20"/>
          <w:szCs w:val="20"/>
          <w:shd w:val="clear" w:color="auto" w:fill="FFFFFF"/>
        </w:rPr>
        <w:t>Siraj</w:t>
      </w:r>
      <w:proofErr w:type="spellEnd"/>
      <w:r w:rsidRPr="00C24463">
        <w:rPr>
          <w:rFonts w:ascii="Arial" w:hAnsi="Arial" w:cs="Arial"/>
          <w:color w:val="000000"/>
          <w:sz w:val="20"/>
          <w:szCs w:val="20"/>
          <w:shd w:val="clear" w:color="auto" w:fill="FFFFFF"/>
        </w:rPr>
        <w:t>-Blatchford, I. (2009)</w:t>
      </w:r>
      <w:r w:rsidRPr="00C24463">
        <w:rPr>
          <w:rStyle w:val="apple-converted-space"/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C24463">
        <w:rPr>
          <w:rFonts w:ascii="Arial" w:hAnsi="Arial" w:cs="Arial"/>
          <w:sz w:val="20"/>
          <w:szCs w:val="20"/>
          <w:bdr w:val="none" w:sz="0" w:space="0" w:color="auto" w:frame="1"/>
        </w:rPr>
        <w:t>Conceptualising progression in the pedagogy of play and sustained shared thinking in early childhood education: a Vygotskian perspective</w:t>
      </w:r>
      <w:r w:rsidRPr="00C244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C2446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Education and Child Psychology</w:t>
      </w:r>
      <w:r w:rsidRPr="00C24463">
        <w:rPr>
          <w:rFonts w:ascii="Arial" w:hAnsi="Arial" w:cs="Arial"/>
          <w:color w:val="000000"/>
          <w:sz w:val="20"/>
          <w:szCs w:val="20"/>
          <w:shd w:val="clear" w:color="auto" w:fill="FFFFFF"/>
        </w:rPr>
        <w:t>, 26 (2), 77-89.</w:t>
      </w:r>
    </w:p>
    <w:p w:rsidR="00C24463" w:rsidRPr="00C24463" w:rsidRDefault="00C24463" w:rsidP="00C244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4463" w:rsidRPr="00C24463" w:rsidRDefault="00C24463" w:rsidP="00C24463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Siraj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-Blatchford, I.,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Muttock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Sylva, K.,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Gilden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 and Bell, D., (2012) Researching effective pedagogy in the early years. UK Department for Education and Skills accessible at </w:t>
      </w:r>
      <w:hyperlink r:id="rId11" w:history="1">
        <w:r w:rsidRPr="00C2446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https://dera.ioe.ac.uk/4650/1/RR356.pdf</w:t>
        </w:r>
      </w:hyperlink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normaltextrun1"/>
          <w:rFonts w:ascii="Arial" w:hAnsi="Arial" w:cs="Arial"/>
          <w:sz w:val="20"/>
          <w:szCs w:val="20"/>
        </w:rPr>
        <w:t xml:space="preserve">Skinner, C &amp; Stevens, J. (2012)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Foundations of Mathematics – An active approach to number, shape and measure in the Early Years. </w:t>
      </w:r>
      <w:r w:rsidRPr="00C24463">
        <w:rPr>
          <w:rStyle w:val="contextualspellingandgrammarerror"/>
          <w:rFonts w:ascii="Arial" w:hAnsi="Arial" w:cs="Arial"/>
          <w:sz w:val="20"/>
          <w:szCs w:val="20"/>
        </w:rPr>
        <w:t>Featherstone :</w:t>
      </w:r>
      <w:r w:rsidRPr="00C24463">
        <w:rPr>
          <w:rStyle w:val="normaltextrun1"/>
          <w:rFonts w:ascii="Arial" w:hAnsi="Arial" w:cs="Arial"/>
          <w:sz w:val="20"/>
          <w:szCs w:val="20"/>
        </w:rPr>
        <w:t xml:space="preserve"> London.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r w:rsidRPr="00C24463">
        <w:rPr>
          <w:rFonts w:ascii="Arial" w:hAnsi="Arial" w:cs="Arial"/>
          <w:sz w:val="20"/>
          <w:szCs w:val="20"/>
        </w:rPr>
        <w:t xml:space="preserve">Sylva, K., </w:t>
      </w:r>
      <w:proofErr w:type="spellStart"/>
      <w:r w:rsidRPr="00C24463">
        <w:rPr>
          <w:rFonts w:ascii="Arial" w:hAnsi="Arial" w:cs="Arial"/>
          <w:sz w:val="20"/>
          <w:szCs w:val="20"/>
        </w:rPr>
        <w:t>Melhuish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E., Sammons, P., </w:t>
      </w:r>
      <w:proofErr w:type="spellStart"/>
      <w:r w:rsidRPr="00C24463">
        <w:rPr>
          <w:rFonts w:ascii="Arial" w:hAnsi="Arial" w:cs="Arial"/>
          <w:sz w:val="20"/>
          <w:szCs w:val="20"/>
        </w:rPr>
        <w:t>Siraj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I., Taggart, B., </w:t>
      </w:r>
      <w:proofErr w:type="spellStart"/>
      <w:r w:rsidRPr="00C24463">
        <w:rPr>
          <w:rFonts w:ascii="Arial" w:hAnsi="Arial" w:cs="Arial"/>
          <w:sz w:val="20"/>
          <w:szCs w:val="20"/>
        </w:rPr>
        <w:t>Smees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R., </w:t>
      </w:r>
      <w:proofErr w:type="spellStart"/>
      <w:r w:rsidRPr="00C24463">
        <w:rPr>
          <w:rFonts w:ascii="Arial" w:hAnsi="Arial" w:cs="Arial"/>
          <w:sz w:val="20"/>
          <w:szCs w:val="20"/>
        </w:rPr>
        <w:t>Hollingworth</w:t>
      </w:r>
      <w:proofErr w:type="spellEnd"/>
      <w:r w:rsidRPr="00C24463">
        <w:rPr>
          <w:rFonts w:ascii="Arial" w:hAnsi="Arial" w:cs="Arial"/>
          <w:sz w:val="20"/>
          <w:szCs w:val="20"/>
        </w:rPr>
        <w:t>, K. (2014). Effective Pre-School, Primary and Secondary Education (</w:t>
      </w:r>
      <w:proofErr w:type="spellStart"/>
      <w:r w:rsidRPr="00C24463">
        <w:rPr>
          <w:rFonts w:ascii="Arial" w:hAnsi="Arial" w:cs="Arial"/>
          <w:sz w:val="20"/>
          <w:szCs w:val="20"/>
        </w:rPr>
        <w:t>EPPSE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 3-16) Project: Students' educational and developmental outcomes at age 16. (</w:t>
      </w:r>
      <w:proofErr w:type="spellStart"/>
      <w:r w:rsidRPr="00C24463">
        <w:rPr>
          <w:rFonts w:ascii="Arial" w:hAnsi="Arial" w:cs="Arial"/>
          <w:sz w:val="20"/>
          <w:szCs w:val="20"/>
        </w:rPr>
        <w:t>DFE-RR354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). London: Department for Education. Retrieved from </w:t>
      </w:r>
      <w:hyperlink r:id="rId12" w:history="1">
        <w:r w:rsidRPr="00C24463">
          <w:rPr>
            <w:rStyle w:val="Hyperlink"/>
            <w:rFonts w:ascii="Arial" w:hAnsi="Arial" w:cs="Arial"/>
            <w:sz w:val="20"/>
            <w:szCs w:val="20"/>
          </w:rPr>
          <w:t>https://www.gov.uk/government/uploads/system/uploads/attachment_data/file/351496/RR354_-_Students__educational_and_developmental_outcomes_at_age_16.pdf</w:t>
        </w:r>
      </w:hyperlink>
      <w:r w:rsidRPr="00C24463">
        <w:rPr>
          <w:rFonts w:ascii="Arial" w:hAnsi="Arial" w:cs="Arial"/>
          <w:sz w:val="20"/>
          <w:szCs w:val="20"/>
        </w:rPr>
        <w:t>.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proofErr w:type="spellStart"/>
      <w:r w:rsidRPr="00C24463">
        <w:rPr>
          <w:rFonts w:ascii="Arial" w:hAnsi="Arial" w:cs="Arial"/>
          <w:sz w:val="20"/>
          <w:szCs w:val="20"/>
        </w:rPr>
        <w:t>Te-Whariki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 Early Childhood Curriculum (2017) Ministry of Education, New Zealand. ISBN 978-0-478-16927-0 (online)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proofErr w:type="spellStart"/>
      <w:r w:rsidRPr="00C24463">
        <w:rPr>
          <w:rFonts w:ascii="Arial" w:hAnsi="Arial" w:cs="Arial"/>
          <w:sz w:val="20"/>
          <w:szCs w:val="20"/>
        </w:rPr>
        <w:t>Tovey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H. (2013) </w:t>
      </w:r>
      <w:r w:rsidRPr="00C24463">
        <w:rPr>
          <w:rFonts w:ascii="Arial" w:hAnsi="Arial" w:cs="Arial"/>
          <w:i/>
          <w:sz w:val="20"/>
          <w:szCs w:val="20"/>
        </w:rPr>
        <w:t>Bringing the Froebel Approach to your Early Years Practice</w:t>
      </w:r>
      <w:r w:rsidRPr="00C24463">
        <w:rPr>
          <w:rFonts w:ascii="Arial" w:hAnsi="Arial" w:cs="Arial"/>
          <w:sz w:val="20"/>
          <w:szCs w:val="20"/>
        </w:rPr>
        <w:t>. London: Routledge.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proofErr w:type="spellStart"/>
      <w:r w:rsidRPr="00C24463">
        <w:rPr>
          <w:rFonts w:ascii="Arial" w:hAnsi="Arial" w:cs="Arial"/>
          <w:sz w:val="20"/>
          <w:szCs w:val="20"/>
        </w:rPr>
        <w:t>Trevarthen</w:t>
      </w:r>
      <w:proofErr w:type="spellEnd"/>
      <w:r w:rsidRPr="00C24463">
        <w:rPr>
          <w:rFonts w:ascii="Arial" w:hAnsi="Arial" w:cs="Arial"/>
          <w:sz w:val="20"/>
          <w:szCs w:val="20"/>
        </w:rPr>
        <w:t xml:space="preserve">, C. (2018) What young children give to their learning. In </w:t>
      </w:r>
      <w:r w:rsidRPr="00C24463">
        <w:rPr>
          <w:rFonts w:ascii="Arial" w:hAnsi="Arial" w:cs="Arial"/>
          <w:i/>
          <w:sz w:val="20"/>
          <w:szCs w:val="20"/>
        </w:rPr>
        <w:t>The child’s curriculum: working with the natural values of young children</w:t>
      </w:r>
      <w:r w:rsidRPr="00C24463">
        <w:rPr>
          <w:rFonts w:ascii="Arial" w:hAnsi="Arial" w:cs="Arial"/>
          <w:sz w:val="20"/>
          <w:szCs w:val="20"/>
        </w:rPr>
        <w:t xml:space="preserve">. </w:t>
      </w: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sz w:val="20"/>
          <w:szCs w:val="20"/>
        </w:rPr>
      </w:pPr>
      <w:proofErr w:type="spellStart"/>
      <w:r w:rsidRPr="00C24463">
        <w:rPr>
          <w:rFonts w:ascii="Arial" w:hAnsi="Arial" w:cs="Arial"/>
          <w:sz w:val="20"/>
          <w:szCs w:val="20"/>
        </w:rPr>
        <w:t>Trevarthen</w:t>
      </w:r>
      <w:proofErr w:type="spellEnd"/>
      <w:r w:rsidRPr="00C24463">
        <w:rPr>
          <w:rFonts w:ascii="Arial" w:hAnsi="Arial" w:cs="Arial"/>
          <w:sz w:val="20"/>
          <w:szCs w:val="20"/>
        </w:rPr>
        <w:t>, C., Delafield-Butt, J., and Dunlop, A. W. Oxford (Eds). Oxford University Press.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  <w:r w:rsidRPr="00C24463">
        <w:rPr>
          <w:rStyle w:val="normaltextrun1"/>
          <w:rFonts w:ascii="Arial" w:hAnsi="Arial" w:cs="Arial"/>
          <w:sz w:val="20"/>
          <w:szCs w:val="20"/>
        </w:rPr>
        <w:t xml:space="preserve">Tucker, K. (2014) </w:t>
      </w:r>
      <w:r w:rsidRPr="00C24463">
        <w:rPr>
          <w:rStyle w:val="normaltextrun1"/>
          <w:rFonts w:ascii="Arial" w:hAnsi="Arial" w:cs="Arial"/>
          <w:i/>
          <w:iCs/>
          <w:sz w:val="20"/>
          <w:szCs w:val="20"/>
        </w:rPr>
        <w:t xml:space="preserve">Mathematics Through Play in the Early Years – 3rd Edition. </w:t>
      </w:r>
      <w:r w:rsidRPr="00C24463">
        <w:rPr>
          <w:rStyle w:val="contextualspellingandgrammarerror"/>
          <w:rFonts w:ascii="Arial" w:hAnsi="Arial" w:cs="Arial"/>
          <w:sz w:val="20"/>
          <w:szCs w:val="20"/>
        </w:rPr>
        <w:t>Sage :</w:t>
      </w:r>
      <w:r w:rsidRPr="00C24463">
        <w:rPr>
          <w:rStyle w:val="normaltextrun1"/>
          <w:rFonts w:ascii="Arial" w:hAnsi="Arial" w:cs="Arial"/>
          <w:sz w:val="20"/>
          <w:szCs w:val="20"/>
        </w:rPr>
        <w:t xml:space="preserve"> London.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C24463" w:rsidRPr="00C24463" w:rsidRDefault="00C24463" w:rsidP="00C24463">
      <w:pPr>
        <w:pStyle w:val="paragraph"/>
        <w:textAlignment w:val="baseline"/>
        <w:rPr>
          <w:rStyle w:val="eop"/>
          <w:rFonts w:ascii="Arial" w:hAnsi="Arial" w:cs="Arial"/>
          <w:b/>
          <w:bCs/>
          <w:color w:val="B3D236"/>
          <w:sz w:val="20"/>
          <w:szCs w:val="20"/>
        </w:rPr>
      </w:pP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van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Dijk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and van Geert, P., (2014) The nature and meaning of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intraindividual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variability in development in the early life span. In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Handbook of intra-individual variability across the life span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57-78). Routledge.</w:t>
      </w: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24463" w:rsidRPr="00C24463" w:rsidRDefault="00C24463" w:rsidP="00C2446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Vértes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P.E. and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Bullmore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E.T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(2015) Annual research review: growth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connectomics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–the organization and reorganization of brain networks during normal and abnormal development.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Journal of Child Psychology and Psychiatry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C24463">
        <w:rPr>
          <w:rFonts w:ascii="Arial" w:hAnsi="Arial" w:cs="Arial"/>
          <w:i/>
          <w:iCs/>
          <w:color w:val="222222"/>
          <w:sz w:val="20"/>
          <w:szCs w:val="20"/>
        </w:rPr>
        <w:t>56</w:t>
      </w:r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(3), </w:t>
      </w:r>
      <w:proofErr w:type="spellStart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pp.299</w:t>
      </w:r>
      <w:proofErr w:type="spellEnd"/>
      <w:r w:rsidRPr="00C24463">
        <w:rPr>
          <w:rFonts w:ascii="Arial" w:hAnsi="Arial" w:cs="Arial"/>
          <w:color w:val="222222"/>
          <w:sz w:val="20"/>
          <w:szCs w:val="20"/>
          <w:shd w:val="clear" w:color="auto" w:fill="FFFFFF"/>
        </w:rPr>
        <w:t>-320.</w:t>
      </w:r>
    </w:p>
    <w:p w:rsidR="00C24463" w:rsidRPr="00C24463" w:rsidRDefault="00C24463" w:rsidP="00C24463">
      <w:pPr>
        <w:pStyle w:val="paragraph"/>
        <w:textAlignment w:val="baseline"/>
        <w:rPr>
          <w:rFonts w:ascii="Arial" w:hAnsi="Arial" w:cs="Arial"/>
          <w:b/>
          <w:bCs/>
          <w:color w:val="B3D236"/>
          <w:sz w:val="20"/>
          <w:szCs w:val="20"/>
        </w:rPr>
      </w:pPr>
      <w:proofErr w:type="spellStart"/>
      <w:r w:rsidRPr="00C24463"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  <w:t>Whitebread</w:t>
      </w:r>
      <w:proofErr w:type="spellEnd"/>
      <w:r w:rsidRPr="00C24463"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  <w:t xml:space="preserve">, D. (2012). </w:t>
      </w:r>
      <w:r w:rsidRPr="00C24463">
        <w:rPr>
          <w:rStyle w:val="normaltextrun1"/>
          <w:rFonts w:ascii="Arial" w:hAnsi="Arial" w:cs="Arial"/>
          <w:i/>
          <w:iCs/>
          <w:color w:val="000000"/>
          <w:sz w:val="20"/>
          <w:szCs w:val="20"/>
          <w:lang w:val="en"/>
        </w:rPr>
        <w:t>The importance of play</w:t>
      </w:r>
      <w:r w:rsidRPr="00C24463"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  <w:t xml:space="preserve">. [online] University of Cambridge </w:t>
      </w:r>
      <w:hyperlink r:id="rId13" w:tgtFrame="_blank" w:history="1">
        <w:r w:rsidRPr="00C24463">
          <w:rPr>
            <w:rStyle w:val="normaltextrun1"/>
            <w:rFonts w:ascii="Arial" w:hAnsi="Arial" w:cs="Arial"/>
            <w:color w:val="0000FF"/>
            <w:sz w:val="20"/>
            <w:szCs w:val="20"/>
            <w:u w:val="single"/>
            <w:lang w:val="en"/>
          </w:rPr>
          <w:t>http://www.csap.cam.ac.uk/media/uploads/files/1/david-whitebread---importance-of-play-report.pdf</w:t>
        </w:r>
      </w:hyperlink>
      <w:r w:rsidRPr="00C24463">
        <w:rPr>
          <w:rStyle w:val="normaltextrun1"/>
          <w:rFonts w:ascii="Arial" w:hAnsi="Arial" w:cs="Arial"/>
          <w:color w:val="000000"/>
          <w:sz w:val="20"/>
          <w:szCs w:val="20"/>
          <w:lang w:val="en"/>
        </w:rPr>
        <w:t> </w:t>
      </w:r>
      <w:r w:rsidRPr="00C24463">
        <w:rPr>
          <w:rStyle w:val="eop"/>
          <w:rFonts w:ascii="Arial" w:hAnsi="Arial" w:cs="Arial"/>
          <w:b/>
          <w:bCs/>
          <w:color w:val="B3D236"/>
          <w:sz w:val="20"/>
          <w:szCs w:val="20"/>
        </w:rPr>
        <w:t> </w:t>
      </w:r>
    </w:p>
    <w:p w:rsidR="00A15D6F" w:rsidRDefault="00A15D6F"/>
    <w:sectPr w:rsidR="00A15D6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52" w:rsidRDefault="00421052" w:rsidP="00421052">
      <w:r>
        <w:separator/>
      </w:r>
    </w:p>
  </w:endnote>
  <w:endnote w:type="continuationSeparator" w:id="0">
    <w:p w:rsidR="00421052" w:rsidRDefault="00421052" w:rsidP="004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1F3BC01B1B3406AB2336F038B4BF57C"/>
      </w:placeholder>
      <w:temporary/>
      <w:showingPlcHdr/>
      <w15:appearance w15:val="hidden"/>
    </w:sdtPr>
    <w:sdtContent>
      <w:p w:rsidR="00421052" w:rsidRDefault="00421052">
        <w:pPr>
          <w:pStyle w:val="Footer"/>
        </w:pPr>
        <w:r>
          <w:t>[Type here]</w:t>
        </w:r>
      </w:p>
    </w:sdtContent>
  </w:sdt>
  <w:p w:rsidR="00421052" w:rsidRDefault="00421052">
    <w:pPr>
      <w:pStyle w:val="Foot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DCB661A" wp14:editId="3F18C9D7">
          <wp:simplePos x="0" y="0"/>
          <wp:positionH relativeFrom="margin">
            <wp:posOffset>-956930</wp:posOffset>
          </wp:positionH>
          <wp:positionV relativeFrom="paragraph">
            <wp:posOffset>-317234</wp:posOffset>
          </wp:positionV>
          <wp:extent cx="7612675" cy="1050893"/>
          <wp:effectExtent l="0" t="0" r="0" b="0"/>
          <wp:wrapNone/>
          <wp:docPr id="1" name="Picture 1" descr="C:\Users\u444789\AppData\Local\Microsoft\Windows\INetCache\Content.MSO\C048CCC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444789\AppData\Local\Microsoft\Windows\INetCache\Content.MSO\C048CCC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551" cy="105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52" w:rsidRDefault="00421052" w:rsidP="00421052">
      <w:r>
        <w:separator/>
      </w:r>
    </w:p>
  </w:footnote>
  <w:footnote w:type="continuationSeparator" w:id="0">
    <w:p w:rsidR="00421052" w:rsidRDefault="00421052" w:rsidP="0042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63"/>
    <w:rsid w:val="00421052"/>
    <w:rsid w:val="004E78AE"/>
    <w:rsid w:val="00A15D6F"/>
    <w:rsid w:val="00C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9468"/>
  <w15:chartTrackingRefBased/>
  <w15:docId w15:val="{D9EF56F8-1E84-4757-B6E0-BCAFF24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4463"/>
  </w:style>
  <w:style w:type="character" w:customStyle="1" w:styleId="spellingerror">
    <w:name w:val="spellingerror"/>
    <w:basedOn w:val="DefaultParagraphFont"/>
    <w:rsid w:val="00C24463"/>
  </w:style>
  <w:style w:type="character" w:customStyle="1" w:styleId="contextualspellingandgrammarerror">
    <w:name w:val="contextualspellingandgrammarerror"/>
    <w:basedOn w:val="DefaultParagraphFont"/>
    <w:rsid w:val="00C24463"/>
  </w:style>
  <w:style w:type="character" w:customStyle="1" w:styleId="normaltextrun1">
    <w:name w:val="normaltextrun1"/>
    <w:basedOn w:val="DefaultParagraphFont"/>
    <w:rsid w:val="00C24463"/>
  </w:style>
  <w:style w:type="character" w:customStyle="1" w:styleId="eop">
    <w:name w:val="eop"/>
    <w:basedOn w:val="DefaultParagraphFont"/>
    <w:rsid w:val="00C24463"/>
  </w:style>
  <w:style w:type="paragraph" w:styleId="BalloonText">
    <w:name w:val="Balloon Text"/>
    <w:basedOn w:val="Normal"/>
    <w:link w:val="BalloonTextChar"/>
    <w:uiPriority w:val="99"/>
    <w:semiHidden/>
    <w:unhideWhenUsed/>
    <w:rsid w:val="00C24463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463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24463"/>
    <w:pPr>
      <w:spacing w:after="120" w:line="259" w:lineRule="auto"/>
      <w:ind w:left="283"/>
    </w:pPr>
    <w:rPr>
      <w:rFonts w:ascii="Calibri Light" w:eastAsiaTheme="minorHAnsi" w:hAnsi="Calibri Light" w:cstheme="minorBidi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4463"/>
    <w:rPr>
      <w:rFonts w:ascii="Calibri Light" w:hAnsi="Calibri Light"/>
      <w:sz w:val="24"/>
    </w:rPr>
  </w:style>
  <w:style w:type="character" w:customStyle="1" w:styleId="apple-converted-space">
    <w:name w:val="apple-converted-space"/>
    <w:basedOn w:val="DefaultParagraphFont"/>
    <w:rsid w:val="00C24463"/>
  </w:style>
  <w:style w:type="paragraph" w:styleId="Header">
    <w:name w:val="header"/>
    <w:basedOn w:val="Normal"/>
    <w:link w:val="HeaderChar"/>
    <w:uiPriority w:val="99"/>
    <w:unhideWhenUsed/>
    <w:rsid w:val="00421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0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1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05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3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18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00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63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53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44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8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73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86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3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3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66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20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96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7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33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1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4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75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4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7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67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86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5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21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8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3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86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39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1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74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13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32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8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63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25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26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" TargetMode="External"/><Relationship Id="rId13" Type="http://schemas.openxmlformats.org/officeDocument/2006/relationships/hyperlink" Target="http://www.csap.cam.ac.uk/media/uploads/files/1/david-whitebread---importance-of-play-repo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UUw1R_w3XU" TargetMode="External"/><Relationship Id="rId12" Type="http://schemas.openxmlformats.org/officeDocument/2006/relationships/hyperlink" Target="https://www.gov.uk/government/uploads/system/uploads/attachment_data/file/351496/RR354_-_Students__educational_and_developmental_outcomes_at_age_16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era.ioe.ac.uk/4650/1/RR356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reativestarlearning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velopingchild.harvard.edu/guide/a-guide-to-executive-functio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3BC01B1B3406AB2336F038B4B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ACCA-70D3-43EE-8D01-770D1AAE29DA}"/>
      </w:docPartPr>
      <w:docPartBody>
        <w:p w:rsidR="00000000" w:rsidRDefault="005428E7" w:rsidP="005428E7">
          <w:pPr>
            <w:pStyle w:val="91F3BC01B1B3406AB2336F038B4BF57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7"/>
    <w:rsid w:val="005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3BC01B1B3406AB2336F038B4BF57C">
    <w:name w:val="91F3BC01B1B3406AB2336F038B4BF57C"/>
    <w:rsid w:val="00542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7832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 (Lynn) (Edu)</dc:creator>
  <cp:keywords/>
  <dc:description/>
  <cp:lastModifiedBy>Stevenson J (Jeremy)</cp:lastModifiedBy>
  <cp:revision>2</cp:revision>
  <dcterms:created xsi:type="dcterms:W3CDTF">2020-02-19T14:16:00Z</dcterms:created>
  <dcterms:modified xsi:type="dcterms:W3CDTF">2020-02-19T14:16:00Z</dcterms:modified>
</cp:coreProperties>
</file>