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B4429" w14:textId="13DAB99A" w:rsidR="00126E50" w:rsidRPr="00295B02" w:rsidRDefault="00126E50" w:rsidP="00295B02">
      <w:pPr>
        <w:pStyle w:val="Heading1"/>
        <w:ind w:right="-8"/>
        <w:rPr>
          <w:b/>
          <w:sz w:val="32"/>
          <w:szCs w:val="32"/>
        </w:rPr>
      </w:pPr>
      <w:bookmarkStart w:id="0" w:name="_Toc11600990"/>
      <w:r w:rsidRPr="00295B02">
        <w:rPr>
          <w:b/>
          <w:sz w:val="32"/>
          <w:szCs w:val="32"/>
        </w:rPr>
        <w:t>Numeracy &amp; mathematics Milestones</w:t>
      </w:r>
      <w:bookmarkEnd w:id="0"/>
    </w:p>
    <w:p w14:paraId="4F72D44D" w14:textId="77777777" w:rsidR="00126E50" w:rsidRPr="009B6EC8" w:rsidRDefault="00126E50" w:rsidP="00295B02">
      <w:pPr>
        <w:ind w:right="-8"/>
        <w:rPr>
          <w:sz w:val="24"/>
          <w:szCs w:val="24"/>
        </w:rPr>
      </w:pPr>
    </w:p>
    <w:p w14:paraId="3930D3DD" w14:textId="77777777" w:rsidR="00DC33D1" w:rsidRDefault="00DC33D1" w:rsidP="00DC33D1">
      <w:pPr>
        <w:ind w:right="-8"/>
        <w:rPr>
          <w:sz w:val="24"/>
          <w:szCs w:val="24"/>
        </w:rPr>
      </w:pPr>
      <w:bookmarkStart w:id="1" w:name="_Toc11600991"/>
      <w:r w:rsidRPr="009B6EC8">
        <w:rPr>
          <w:sz w:val="24"/>
          <w:szCs w:val="24"/>
        </w:rPr>
        <w:t xml:space="preserve">The structure of the numeracy and mathematics milestones are similar to the </w:t>
      </w:r>
      <w:proofErr w:type="spellStart"/>
      <w:r w:rsidRPr="009B6EC8">
        <w:rPr>
          <w:sz w:val="24"/>
          <w:szCs w:val="24"/>
        </w:rPr>
        <w:t>CfE</w:t>
      </w:r>
      <w:proofErr w:type="spellEnd"/>
      <w:r w:rsidRPr="009B6EC8">
        <w:rPr>
          <w:sz w:val="24"/>
          <w:szCs w:val="24"/>
        </w:rPr>
        <w:t xml:space="preserve"> Benchmarks documents and are linked to the </w:t>
      </w:r>
      <w:proofErr w:type="spellStart"/>
      <w:r w:rsidRPr="009B6EC8">
        <w:rPr>
          <w:sz w:val="24"/>
          <w:szCs w:val="24"/>
        </w:rPr>
        <w:t>CfE</w:t>
      </w:r>
      <w:proofErr w:type="spellEnd"/>
      <w:r w:rsidRPr="009B6EC8">
        <w:rPr>
          <w:sz w:val="24"/>
          <w:szCs w:val="24"/>
        </w:rPr>
        <w:t xml:space="preserve"> Experiences and Outcomes</w:t>
      </w:r>
      <w:r>
        <w:rPr>
          <w:sz w:val="24"/>
          <w:szCs w:val="24"/>
        </w:rPr>
        <w:t xml:space="preserve">. </w:t>
      </w:r>
      <w:r w:rsidRPr="009B6EC8">
        <w:rPr>
          <w:sz w:val="24"/>
          <w:szCs w:val="24"/>
        </w:rPr>
        <w:t>This direct link supports the tracking of progression from this pre-early stage into the early level where this is possible for a learner.</w:t>
      </w:r>
      <w:r>
        <w:rPr>
          <w:sz w:val="24"/>
          <w:szCs w:val="24"/>
        </w:rPr>
        <w:t xml:space="preserve"> </w:t>
      </w:r>
      <w:r w:rsidRPr="00295B02">
        <w:rPr>
          <w:sz w:val="24"/>
          <w:szCs w:val="24"/>
        </w:rPr>
        <w:t>This resource should always be used in conju</w:t>
      </w:r>
      <w:r>
        <w:rPr>
          <w:sz w:val="24"/>
          <w:szCs w:val="24"/>
        </w:rPr>
        <w:t xml:space="preserve">nction with </w:t>
      </w:r>
      <w:hyperlink w:anchor="_Section_1:_Guidance" w:history="1">
        <w:r w:rsidRPr="00323485">
          <w:rPr>
            <w:rStyle w:val="Hyperlink"/>
            <w:sz w:val="24"/>
            <w:szCs w:val="24"/>
          </w:rPr>
          <w:t>Section 1: Guidance</w:t>
        </w:r>
      </w:hyperlink>
      <w:r>
        <w:rPr>
          <w:sz w:val="24"/>
          <w:szCs w:val="24"/>
        </w:rPr>
        <w:t xml:space="preserve"> and </w:t>
      </w:r>
      <w:hyperlink w:anchor="_Section_2:_Milestones" w:history="1">
        <w:r w:rsidRPr="00323485">
          <w:rPr>
            <w:rStyle w:val="Hyperlink"/>
            <w:sz w:val="24"/>
            <w:szCs w:val="24"/>
          </w:rPr>
          <w:t>Section 2: Supporting resources</w:t>
        </w:r>
      </w:hyperlink>
      <w:r>
        <w:rPr>
          <w:sz w:val="24"/>
          <w:szCs w:val="24"/>
        </w:rPr>
        <w:t>.</w:t>
      </w:r>
    </w:p>
    <w:p w14:paraId="213C850D" w14:textId="77777777" w:rsidR="00DC33D1" w:rsidRPr="006C2AA7" w:rsidRDefault="00DC33D1" w:rsidP="00DC33D1">
      <w:pPr>
        <w:ind w:right="-8"/>
        <w:rPr>
          <w:sz w:val="24"/>
          <w:szCs w:val="24"/>
        </w:rPr>
      </w:pPr>
    </w:p>
    <w:p w14:paraId="29C90D4E" w14:textId="77777777" w:rsidR="00DC33D1" w:rsidRDefault="00DC33D1" w:rsidP="00DC33D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right="0"/>
        <w:jc w:val="center"/>
        <w:rPr>
          <w:rFonts w:eastAsia="Times New Roman" w:cs="Arial"/>
          <w:b/>
          <w:color w:val="auto"/>
          <w:lang w:val="en-GB"/>
        </w:rPr>
      </w:pPr>
    </w:p>
    <w:p w14:paraId="21102B0D" w14:textId="77777777" w:rsidR="00DC33D1" w:rsidRPr="00586CED" w:rsidRDefault="00DC33D1" w:rsidP="00DC33D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right="0"/>
        <w:jc w:val="center"/>
        <w:rPr>
          <w:rFonts w:eastAsia="Times New Roman" w:cs="Arial"/>
          <w:b/>
          <w:color w:val="auto"/>
          <w:lang w:val="en-GB"/>
        </w:rPr>
      </w:pPr>
      <w:r>
        <w:rPr>
          <w:rFonts w:eastAsia="Times New Roman" w:cs="Arial"/>
          <w:b/>
          <w:color w:val="auto"/>
          <w:lang w:val="en-GB"/>
        </w:rPr>
        <w:t>Pre-early level Number, Money and Measure</w:t>
      </w:r>
    </w:p>
    <w:tbl>
      <w:tblPr>
        <w:tblStyle w:val="TableGrid3"/>
        <w:tblW w:w="103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2976"/>
        <w:gridCol w:w="5103"/>
      </w:tblGrid>
      <w:tr w:rsidR="00DC33D1" w:rsidRPr="001F1B1A" w14:paraId="1AC1D0B3" w14:textId="77777777" w:rsidTr="00777CD4">
        <w:trPr>
          <w:trHeight w:val="838"/>
          <w:tblHeader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8496B0"/>
          </w:tcPr>
          <w:p w14:paraId="045050AB" w14:textId="77777777" w:rsidR="00DC33D1" w:rsidRPr="00586CED" w:rsidRDefault="00DC33D1" w:rsidP="00777CD4">
            <w:pPr>
              <w:spacing w:line="240" w:lineRule="atLeast"/>
              <w:ind w:right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b/>
                <w:color w:val="FFFFFF"/>
                <w:sz w:val="20"/>
                <w:szCs w:val="20"/>
              </w:rPr>
              <w:t>Number, Money and Measure</w:t>
            </w:r>
          </w:p>
          <w:p w14:paraId="1833536A" w14:textId="77777777" w:rsidR="00DC33D1" w:rsidRPr="00586CED" w:rsidRDefault="00DC33D1" w:rsidP="00777CD4">
            <w:pPr>
              <w:spacing w:line="240" w:lineRule="atLeast"/>
              <w:ind w:right="0"/>
              <w:jc w:val="center"/>
              <w:rPr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Curriculum Organisers</w:t>
            </w:r>
          </w:p>
        </w:tc>
        <w:tc>
          <w:tcPr>
            <w:tcW w:w="2976" w:type="dxa"/>
            <w:shd w:val="clear" w:color="auto" w:fill="8496B0"/>
          </w:tcPr>
          <w:p w14:paraId="0413D231" w14:textId="77777777" w:rsidR="00DC33D1" w:rsidRPr="00586CED" w:rsidRDefault="00DC33D1" w:rsidP="00777CD4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b/>
                <w:bCs/>
                <w:color w:val="FFFFFF"/>
                <w:sz w:val="20"/>
                <w:szCs w:val="20"/>
              </w:rPr>
              <w:t>Experiences and Outcomes</w:t>
            </w:r>
          </w:p>
          <w:p w14:paraId="07735CA0" w14:textId="77777777" w:rsidR="00DC33D1" w:rsidRPr="00586CED" w:rsidRDefault="00DC33D1" w:rsidP="00777CD4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bCs/>
                <w:color w:val="FFFFFF"/>
                <w:sz w:val="20"/>
                <w:szCs w:val="20"/>
              </w:rPr>
              <w:t>for planning learning, teaching and assessment</w:t>
            </w:r>
          </w:p>
        </w:tc>
        <w:tc>
          <w:tcPr>
            <w:tcW w:w="5103" w:type="dxa"/>
            <w:shd w:val="clear" w:color="auto" w:fill="8496B0"/>
          </w:tcPr>
          <w:p w14:paraId="6FB509CA" w14:textId="77777777" w:rsidR="00DC33D1" w:rsidRDefault="00DC33D1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1D5BF2">
              <w:rPr>
                <w:rFonts w:cs="Arial"/>
                <w:b/>
                <w:color w:val="FFFFFF"/>
                <w:sz w:val="20"/>
                <w:szCs w:val="20"/>
              </w:rPr>
              <w:t>Milestones</w:t>
            </w:r>
          </w:p>
          <w:p w14:paraId="0F4575E9" w14:textId="77777777" w:rsidR="00DC33D1" w:rsidRPr="001D5BF2" w:rsidRDefault="00DC33D1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  <w:p w14:paraId="76C911EE" w14:textId="77777777" w:rsidR="00DC33D1" w:rsidRPr="00586CED" w:rsidRDefault="00DC33D1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to support practitioners’ professional judgement</w:t>
            </w:r>
          </w:p>
        </w:tc>
      </w:tr>
      <w:tr w:rsidR="00DC33D1" w:rsidRPr="001F1B1A" w14:paraId="7CD8D5D3" w14:textId="77777777" w:rsidTr="00777CD4">
        <w:trPr>
          <w:trHeight w:val="1314"/>
        </w:trPr>
        <w:tc>
          <w:tcPr>
            <w:tcW w:w="2269" w:type="dxa"/>
            <w:shd w:val="clear" w:color="auto" w:fill="8496B0"/>
          </w:tcPr>
          <w:p w14:paraId="1870129C" w14:textId="77777777" w:rsidR="00DC33D1" w:rsidRPr="00586CED" w:rsidRDefault="00DC33D1" w:rsidP="00777CD4">
            <w:pPr>
              <w:spacing w:line="240" w:lineRule="atLeast"/>
              <w:ind w:right="0"/>
              <w:rPr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Estimation and rounding</w:t>
            </w:r>
          </w:p>
        </w:tc>
        <w:tc>
          <w:tcPr>
            <w:tcW w:w="2976" w:type="dxa"/>
          </w:tcPr>
          <w:p w14:paraId="1E86AB43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i/>
                <w:color w:val="47649E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am developing a sense of size and amount by observing, exploring, using and communicating with others about things in the world around me.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           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MNU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01a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2F64F2D9" w14:textId="77777777" w:rsidR="00DC33D1" w:rsidRPr="00586CED" w:rsidRDefault="00DC33D1" w:rsidP="00777CD4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Shows a recognition of one, none and lots in a range of practical contexts </w:t>
            </w:r>
          </w:p>
          <w:p w14:paraId="4EC52993" w14:textId="77777777" w:rsidR="00DC33D1" w:rsidRPr="00586CED" w:rsidRDefault="00DC33D1" w:rsidP="00777CD4">
            <w:pPr>
              <w:numPr>
                <w:ilvl w:val="0"/>
                <w:numId w:val="1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Shows recognition of more or less in a range of practical contexts</w:t>
            </w:r>
          </w:p>
        </w:tc>
      </w:tr>
      <w:tr w:rsidR="00DC33D1" w:rsidRPr="001F1B1A" w14:paraId="235AD039" w14:textId="77777777" w:rsidTr="00777CD4">
        <w:trPr>
          <w:trHeight w:val="1055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8496B0"/>
          </w:tcPr>
          <w:p w14:paraId="258FEF4C" w14:textId="77777777" w:rsidR="00DC33D1" w:rsidRPr="00586CED" w:rsidRDefault="00DC33D1" w:rsidP="00777CD4">
            <w:pPr>
              <w:spacing w:line="240" w:lineRule="atLeast"/>
              <w:ind w:right="0"/>
              <w:rPr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Number and number processes including addition, subtraction, multiplication, division and negative numbers</w:t>
            </w:r>
          </w:p>
        </w:tc>
        <w:tc>
          <w:tcPr>
            <w:tcW w:w="2976" w:type="dxa"/>
          </w:tcPr>
          <w:p w14:paraId="1DDC02F7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I have explored numbers, understanding that they represent quantities and I can use them to count, create sequences and describe order. </w:t>
            </w:r>
          </w:p>
          <w:p w14:paraId="1C6A74BB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47649E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MNU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02a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</w:t>
            </w:r>
          </w:p>
          <w:p w14:paraId="3B0CE9D9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</w:p>
          <w:p w14:paraId="79740158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I use practical materials and can ‘count on and back’ to help me to understand addition and subtraction, recording my ideas and solutions in different ways. </w:t>
            </w:r>
          </w:p>
          <w:p w14:paraId="7264932A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i/>
                <w:color w:val="auto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MNU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03a</w:t>
            </w:r>
            <w:proofErr w:type="spellEnd"/>
          </w:p>
        </w:tc>
        <w:tc>
          <w:tcPr>
            <w:tcW w:w="5103" w:type="dxa"/>
          </w:tcPr>
          <w:p w14:paraId="176E9863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Participates in nursery rhymes and songs which involve an introduction to number</w:t>
            </w:r>
          </w:p>
          <w:p w14:paraId="08D8D7A0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Calls out/demonstrates an awareness of numbers that come next in a familiar sequence</w:t>
            </w:r>
          </w:p>
          <w:p w14:paraId="01D4B772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Recognises some familiar numbers within the environment</w:t>
            </w:r>
          </w:p>
          <w:p w14:paraId="588E4B3B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Carries out familiar tasks that involve one to one matching</w:t>
            </w:r>
          </w:p>
          <w:p w14:paraId="65E906D4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Recognises and/or uses the sequence of 1,2, 3 to lead into or out of an activity</w:t>
            </w:r>
          </w:p>
          <w:p w14:paraId="37B7CF2E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Says or signs the number words in order</w:t>
            </w:r>
          </w:p>
          <w:p w14:paraId="2193DB39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Recognises and identifies some numerals </w:t>
            </w:r>
          </w:p>
          <w:p w14:paraId="404DE66F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When asked ‘how many?’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recognises that they should respond with a number </w:t>
            </w:r>
          </w:p>
          <w:p w14:paraId="078E0A2B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Follows along a sequence of numerals while communicating the words</w:t>
            </w:r>
          </w:p>
          <w:p w14:paraId="6F28BEED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Begins to show one-to-one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correspondence by indicating (for example,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by pointing) at each item and/or reciting the appropriate number words</w:t>
            </w:r>
          </w:p>
          <w:p w14:paraId="093189DB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Uses counting to accurately identify ‘how many?’ there are in a small group of items</w:t>
            </w:r>
          </w:p>
          <w:p w14:paraId="4C823E7F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Gives a requested number of items in a practical setting</w:t>
            </w:r>
          </w:p>
          <w:p w14:paraId="3BA460DC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Adds one more and/or takes one away from a group of items on request</w:t>
            </w:r>
          </w:p>
          <w:p w14:paraId="2C249FC8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Identifies when there is none left</w:t>
            </w:r>
          </w:p>
          <w:p w14:paraId="1412768E" w14:textId="77777777" w:rsidR="00DC33D1" w:rsidRPr="00586CED" w:rsidRDefault="00DC33D1" w:rsidP="00777CD4">
            <w:pPr>
              <w:numPr>
                <w:ilvl w:val="0"/>
                <w:numId w:val="17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Demonstrates an understanding of first and last in a familiar routine</w:t>
            </w:r>
          </w:p>
        </w:tc>
      </w:tr>
      <w:tr w:rsidR="00DC33D1" w:rsidRPr="001F1B1A" w14:paraId="45771E40" w14:textId="77777777" w:rsidTr="00777CD4">
        <w:trPr>
          <w:trHeight w:val="319"/>
        </w:trPr>
        <w:tc>
          <w:tcPr>
            <w:tcW w:w="2269" w:type="dxa"/>
            <w:shd w:val="clear" w:color="auto" w:fill="8496B0"/>
          </w:tcPr>
          <w:p w14:paraId="6DF2DBBE" w14:textId="77777777" w:rsidR="00DC33D1" w:rsidRPr="00586CED" w:rsidRDefault="00DC33D1" w:rsidP="00777CD4">
            <w:pPr>
              <w:spacing w:line="240" w:lineRule="atLeast"/>
              <w:ind w:right="0"/>
              <w:rPr>
                <w:rFonts w:cs="Arial"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Fractions, decimal fractions and percentages including ratio and proportion</w:t>
            </w:r>
          </w:p>
        </w:tc>
        <w:tc>
          <w:tcPr>
            <w:tcW w:w="2976" w:type="dxa"/>
          </w:tcPr>
          <w:p w14:paraId="18E4FB57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I can share out a group of items by making smaller groups and can split a whole object into smaller parts. </w:t>
            </w:r>
          </w:p>
          <w:p w14:paraId="238B0110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i/>
                <w:color w:val="auto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MNU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07a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26B48F17" w14:textId="77777777" w:rsidR="00DC33D1" w:rsidRPr="00586CED" w:rsidRDefault="00DC33D1" w:rsidP="00777CD4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Splits an item into smaller pieces</w:t>
            </w:r>
          </w:p>
          <w:p w14:paraId="77E23BBF" w14:textId="77777777" w:rsidR="00DC33D1" w:rsidRPr="00586CED" w:rsidRDefault="00DC33D1" w:rsidP="00777CD4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Puts smaller pieces back together to make the whole</w:t>
            </w:r>
          </w:p>
          <w:p w14:paraId="3D1AF8C9" w14:textId="77777777" w:rsidR="00DC33D1" w:rsidRPr="00586CED" w:rsidRDefault="00DC33D1" w:rsidP="00777CD4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Takes part in distributing a collection of items between a group</w:t>
            </w:r>
          </w:p>
          <w:p w14:paraId="4EC70E29" w14:textId="77777777" w:rsidR="00DC33D1" w:rsidRPr="00586CED" w:rsidRDefault="00DC33D1" w:rsidP="00777CD4">
            <w:pPr>
              <w:numPr>
                <w:ilvl w:val="0"/>
                <w:numId w:val="1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contextualSpacing/>
              <w:rPr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Distributes items one at a time</w:t>
            </w:r>
          </w:p>
        </w:tc>
      </w:tr>
      <w:tr w:rsidR="00DC33D1" w:rsidRPr="001F1B1A" w14:paraId="65FFA9A1" w14:textId="77777777" w:rsidTr="00777CD4">
        <w:trPr>
          <w:trHeight w:val="1266"/>
        </w:trPr>
        <w:tc>
          <w:tcPr>
            <w:tcW w:w="2269" w:type="dxa"/>
            <w:shd w:val="clear" w:color="auto" w:fill="8496B0"/>
          </w:tcPr>
          <w:p w14:paraId="05D0518C" w14:textId="77777777" w:rsidR="00DC33D1" w:rsidRPr="00586CED" w:rsidRDefault="00DC33D1" w:rsidP="00777CD4">
            <w:pPr>
              <w:spacing w:line="240" w:lineRule="atLeast"/>
              <w:ind w:right="0"/>
              <w:rPr>
                <w:rFonts w:cs="Arial"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Money</w:t>
            </w:r>
          </w:p>
        </w:tc>
        <w:tc>
          <w:tcPr>
            <w:tcW w:w="2976" w:type="dxa"/>
          </w:tcPr>
          <w:p w14:paraId="23D52899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I am developing my awareness of how money is used and can recognise and use a range of coins. </w:t>
            </w:r>
          </w:p>
          <w:p w14:paraId="43834D06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auto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MNU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09a</w:t>
            </w:r>
            <w:proofErr w:type="spellEnd"/>
          </w:p>
        </w:tc>
        <w:tc>
          <w:tcPr>
            <w:tcW w:w="5103" w:type="dxa"/>
          </w:tcPr>
          <w:p w14:paraId="1F2EB80C" w14:textId="77777777" w:rsidR="00DC33D1" w:rsidRPr="00586CED" w:rsidRDefault="00DC33D1" w:rsidP="00777CD4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Exchanges an item for something else</w:t>
            </w:r>
          </w:p>
          <w:p w14:paraId="5E57682B" w14:textId="77777777" w:rsidR="00DC33D1" w:rsidRPr="00586CED" w:rsidRDefault="00DC33D1" w:rsidP="00777CD4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Exchanges a range of medi</w:t>
            </w:r>
            <w:r>
              <w:rPr>
                <w:rFonts w:cs="Arial"/>
                <w:color w:val="auto"/>
                <w:sz w:val="20"/>
                <w:szCs w:val="20"/>
              </w:rPr>
              <w:t>a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including coins, cards or other forms of </w:t>
            </w:r>
            <w:r>
              <w:rPr>
                <w:rFonts w:cs="Arial"/>
                <w:color w:val="auto"/>
                <w:sz w:val="20"/>
                <w:szCs w:val="20"/>
              </w:rPr>
              <w:t>money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in exchange for something</w:t>
            </w:r>
          </w:p>
          <w:p w14:paraId="5A442238" w14:textId="77777777" w:rsidR="00DC33D1" w:rsidRPr="00586CED" w:rsidRDefault="00DC33D1" w:rsidP="00777CD4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Handles a range of real money that demonstrates an </w:t>
            </w:r>
            <w:r>
              <w:rPr>
                <w:rFonts w:cs="Arial"/>
                <w:color w:val="auto"/>
                <w:sz w:val="20"/>
                <w:szCs w:val="20"/>
              </w:rPr>
              <w:t>awareness of money, for example,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puts it into a purse or a till or other relevant item.</w:t>
            </w:r>
          </w:p>
          <w:p w14:paraId="02E1AE11" w14:textId="77777777" w:rsidR="00DC33D1" w:rsidRPr="00586CED" w:rsidRDefault="00DC33D1" w:rsidP="00777CD4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Finds coins in a group of mixed items</w:t>
            </w:r>
          </w:p>
          <w:p w14:paraId="26DF6EFC" w14:textId="77777777" w:rsidR="00DC33D1" w:rsidRPr="00586CED" w:rsidRDefault="00DC33D1" w:rsidP="00777CD4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Matches coins or notes that are the same</w:t>
            </w:r>
          </w:p>
          <w:p w14:paraId="64B184DA" w14:textId="77777777" w:rsidR="00DC33D1" w:rsidRPr="00586CED" w:rsidRDefault="00DC33D1" w:rsidP="00777CD4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Sorts some coins from other coins </w:t>
            </w:r>
          </w:p>
          <w:p w14:paraId="09427EBC" w14:textId="77777777" w:rsidR="00DC33D1" w:rsidRPr="00586CED" w:rsidRDefault="00DC33D1" w:rsidP="00777CD4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Identifies some coins </w:t>
            </w:r>
          </w:p>
          <w:p w14:paraId="5704961D" w14:textId="77777777" w:rsidR="00DC33D1" w:rsidRPr="00586CED" w:rsidRDefault="00DC33D1" w:rsidP="00777CD4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Uses language of money in a real life situation, e.g. pay, coin, change, buy, pounds, pence</w:t>
            </w:r>
          </w:p>
        </w:tc>
      </w:tr>
      <w:tr w:rsidR="00DC33D1" w:rsidRPr="001F1B1A" w14:paraId="40B52ED3" w14:textId="77777777" w:rsidTr="00777CD4">
        <w:trPr>
          <w:trHeight w:val="2251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8496B0"/>
          </w:tcPr>
          <w:p w14:paraId="1C1B7030" w14:textId="77777777" w:rsidR="00DC33D1" w:rsidRPr="00586CED" w:rsidRDefault="00DC33D1" w:rsidP="00777CD4">
            <w:pPr>
              <w:spacing w:line="240" w:lineRule="atLeast"/>
              <w:ind w:right="0"/>
              <w:rPr>
                <w:rFonts w:cs="Arial"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2976" w:type="dxa"/>
          </w:tcPr>
          <w:p w14:paraId="63ABAE16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I am aware of how routines and events in my world link with times and seasons, and have explored ways to record and display these using clocks, calendars and other methods. </w:t>
            </w:r>
          </w:p>
          <w:p w14:paraId="4C427B3A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auto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MNU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10a</w:t>
            </w:r>
            <w:proofErr w:type="spellEnd"/>
          </w:p>
        </w:tc>
        <w:tc>
          <w:tcPr>
            <w:tcW w:w="5103" w:type="dxa"/>
          </w:tcPr>
          <w:p w14:paraId="2D7E35DD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593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Demonstrates awareness of start and finish by responding to a start and finish signifier such as a tune, object, etc.</w:t>
            </w:r>
          </w:p>
          <w:p w14:paraId="5DE5384C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593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Moves on to doing something different in r</w:t>
            </w:r>
            <w:r>
              <w:rPr>
                <w:rFonts w:cs="Arial"/>
                <w:color w:val="auto"/>
                <w:sz w:val="20"/>
                <w:szCs w:val="20"/>
              </w:rPr>
              <w:t>esponse to a simple timetable (for example,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objects, photos, symbols)</w:t>
            </w:r>
          </w:p>
          <w:p w14:paraId="3DADB3B8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593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Follows a sequence of activities in response to a timetable (e.g. objects, photos, symbols)</w:t>
            </w:r>
          </w:p>
          <w:p w14:paraId="4BD47A33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593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Identifies that there are different activities that happen at different times of the day and different days of the week</w:t>
            </w:r>
          </w:p>
          <w:p w14:paraId="3160E6FF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593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Shows an awareness that there are different days of the week </w:t>
            </w:r>
          </w:p>
          <w:p w14:paraId="6D8A90C3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593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Shows some awareness that there are different features associated with different seasons such as weather, clothes, festivals</w:t>
            </w:r>
          </w:p>
          <w:p w14:paraId="77E077A8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593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Shows some understanding of time passing, e.g. through waiting for a timer, or waiting for a turn or activity</w:t>
            </w:r>
          </w:p>
          <w:p w14:paraId="795B5ABE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Shows some awareness of the language of time, e.g. before, after, time for, tomorrow, today, afternoon, morning, night, now, next, finished and wait</w:t>
            </w:r>
          </w:p>
        </w:tc>
      </w:tr>
      <w:tr w:rsidR="00DC33D1" w:rsidRPr="001F1B1A" w14:paraId="2D7258F8" w14:textId="77777777" w:rsidTr="00777CD4">
        <w:trPr>
          <w:trHeight w:val="2251"/>
        </w:trPr>
        <w:tc>
          <w:tcPr>
            <w:tcW w:w="2269" w:type="dxa"/>
            <w:shd w:val="clear" w:color="auto" w:fill="8496B0"/>
          </w:tcPr>
          <w:p w14:paraId="01D21B9D" w14:textId="77777777" w:rsidR="00DC33D1" w:rsidRPr="00586CED" w:rsidRDefault="00DC33D1" w:rsidP="00777CD4">
            <w:pPr>
              <w:spacing w:line="240" w:lineRule="atLeast"/>
              <w:ind w:right="0"/>
              <w:rPr>
                <w:rFonts w:cs="Arial"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Measurement</w:t>
            </w:r>
          </w:p>
        </w:tc>
        <w:tc>
          <w:tcPr>
            <w:tcW w:w="2976" w:type="dxa"/>
          </w:tcPr>
          <w:p w14:paraId="747A0A08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I have experimented with everyday items as units of measure to investigate and compare sizes and amounts in my environment, sharing my findings with others. </w:t>
            </w:r>
          </w:p>
          <w:p w14:paraId="08DFD75D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auto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MNU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11a</w:t>
            </w:r>
            <w:proofErr w:type="spellEnd"/>
          </w:p>
        </w:tc>
        <w:tc>
          <w:tcPr>
            <w:tcW w:w="5103" w:type="dxa"/>
          </w:tcPr>
          <w:p w14:paraId="0E55B7F8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Explores different items in their world in relation to size, weight, length and capacity through a variety of actions, e.g. filling and emptying</w:t>
            </w:r>
          </w:p>
          <w:p w14:paraId="097F6CE1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Identifies i</w:t>
            </w:r>
            <w:r>
              <w:rPr>
                <w:rFonts w:cs="Arial"/>
                <w:color w:val="auto"/>
                <w:sz w:val="20"/>
                <w:szCs w:val="20"/>
              </w:rPr>
              <w:t>tems by size and/or amount, for example,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big and small, h</w:t>
            </w:r>
            <w:r>
              <w:rPr>
                <w:rFonts w:cs="Arial"/>
                <w:color w:val="auto"/>
                <w:sz w:val="20"/>
                <w:szCs w:val="20"/>
              </w:rPr>
              <w:t>eavy and light, full and empty,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from a choice of two</w:t>
            </w:r>
          </w:p>
          <w:p w14:paraId="7880A7A9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Matches items by size and length</w:t>
            </w:r>
          </w:p>
          <w:p w14:paraId="7AACF9E0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Sorts i</w:t>
            </w:r>
            <w:r>
              <w:rPr>
                <w:rFonts w:cs="Arial"/>
                <w:color w:val="auto"/>
                <w:sz w:val="20"/>
                <w:szCs w:val="20"/>
              </w:rPr>
              <w:t>tems by size and/or amount, for example,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big and small, heavy and light, full and empty</w:t>
            </w:r>
          </w:p>
          <w:p w14:paraId="58FAED66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Responds to directions by more or less</w:t>
            </w:r>
          </w:p>
        </w:tc>
      </w:tr>
      <w:tr w:rsidR="00DC33D1" w:rsidRPr="001F1B1A" w14:paraId="12112D8B" w14:textId="77777777" w:rsidTr="00777CD4">
        <w:trPr>
          <w:trHeight w:val="1403"/>
        </w:trPr>
        <w:tc>
          <w:tcPr>
            <w:tcW w:w="2269" w:type="dxa"/>
            <w:shd w:val="clear" w:color="auto" w:fill="8496B0"/>
          </w:tcPr>
          <w:p w14:paraId="16CBDFB0" w14:textId="77777777" w:rsidR="00DC33D1" w:rsidRPr="00586CED" w:rsidRDefault="00DC33D1" w:rsidP="00777CD4">
            <w:pPr>
              <w:spacing w:line="240" w:lineRule="atLeast"/>
              <w:ind w:right="0"/>
              <w:rPr>
                <w:rFonts w:cs="Arial"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Patterns and relationships</w:t>
            </w:r>
          </w:p>
        </w:tc>
        <w:tc>
          <w:tcPr>
            <w:tcW w:w="2976" w:type="dxa"/>
          </w:tcPr>
          <w:p w14:paraId="26512241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I have spotted and explored patterns in my own and the wider environment and can copy and continue these and create my own patterns. </w:t>
            </w:r>
          </w:p>
          <w:p w14:paraId="119BDDC0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MTH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13a</w:t>
            </w:r>
            <w:proofErr w:type="spellEnd"/>
          </w:p>
        </w:tc>
        <w:tc>
          <w:tcPr>
            <w:tcW w:w="5103" w:type="dxa"/>
          </w:tcPr>
          <w:p w14:paraId="2396C2D4" w14:textId="77777777" w:rsidR="00DC33D1" w:rsidRPr="00586CED" w:rsidRDefault="00DC33D1" w:rsidP="00777CD4">
            <w:pPr>
              <w:numPr>
                <w:ilvl w:val="0"/>
                <w:numId w:val="3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Finds familiar items that go together and matches them</w:t>
            </w:r>
          </w:p>
          <w:p w14:paraId="69BCFBB5" w14:textId="77777777" w:rsidR="00DC33D1" w:rsidRPr="00586CED" w:rsidRDefault="00DC33D1" w:rsidP="00777CD4">
            <w:pPr>
              <w:numPr>
                <w:ilvl w:val="0"/>
                <w:numId w:val="2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left="316"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Responds to a change in a familiar pattern or routine</w:t>
            </w:r>
          </w:p>
        </w:tc>
      </w:tr>
    </w:tbl>
    <w:p w14:paraId="380CD85B" w14:textId="77777777" w:rsidR="00DC33D1" w:rsidRDefault="00DC33D1" w:rsidP="00DC33D1">
      <w:pPr>
        <w:ind w:right="0"/>
        <w:rPr>
          <w:rFonts w:eastAsia="Times New Roman" w:cs="Arial"/>
          <w:b/>
          <w:color w:val="auto"/>
          <w:lang w:val="en-GB"/>
        </w:rPr>
      </w:pPr>
      <w:r>
        <w:rPr>
          <w:rFonts w:eastAsia="Times New Roman" w:cs="Arial"/>
          <w:b/>
          <w:color w:val="auto"/>
          <w:lang w:val="en-GB"/>
        </w:rPr>
        <w:br w:type="page"/>
      </w:r>
    </w:p>
    <w:p w14:paraId="5FD4F100" w14:textId="77777777" w:rsidR="00DC33D1" w:rsidRPr="00586CED" w:rsidRDefault="00DC33D1" w:rsidP="00DC33D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right="0"/>
        <w:jc w:val="center"/>
        <w:rPr>
          <w:rFonts w:eastAsia="Times New Roman" w:cs="Arial"/>
          <w:b/>
          <w:color w:val="auto"/>
          <w:lang w:val="en-GB"/>
        </w:rPr>
      </w:pPr>
      <w:r w:rsidRPr="00586CED">
        <w:rPr>
          <w:rFonts w:eastAsia="Times New Roman" w:cs="Arial"/>
          <w:b/>
          <w:color w:val="auto"/>
          <w:lang w:val="en-GB"/>
        </w:rPr>
        <w:t xml:space="preserve">Pre- early level </w:t>
      </w:r>
      <w:r>
        <w:rPr>
          <w:rFonts w:eastAsia="Times New Roman" w:cs="Arial"/>
          <w:b/>
          <w:color w:val="auto"/>
          <w:lang w:val="en-GB"/>
        </w:rPr>
        <w:t>Shape, Position and Movement</w:t>
      </w:r>
    </w:p>
    <w:tbl>
      <w:tblPr>
        <w:tblStyle w:val="TableGrid3"/>
        <w:tblpPr w:leftFromText="180" w:rightFromText="180" w:vertAnchor="text" w:horzAnchor="margin" w:tblpX="-162" w:tblpY="47"/>
        <w:tblW w:w="10343" w:type="dxa"/>
        <w:tblLook w:val="04A0" w:firstRow="1" w:lastRow="0" w:firstColumn="1" w:lastColumn="0" w:noHBand="0" w:noVBand="1"/>
      </w:tblPr>
      <w:tblGrid>
        <w:gridCol w:w="2263"/>
        <w:gridCol w:w="2977"/>
        <w:gridCol w:w="5103"/>
      </w:tblGrid>
      <w:tr w:rsidR="00DC33D1" w:rsidRPr="001F1B1A" w14:paraId="6CB22B95" w14:textId="77777777" w:rsidTr="00777CD4">
        <w:trPr>
          <w:trHeight w:val="8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072E73F5" w14:textId="77777777" w:rsidR="00DC33D1" w:rsidRPr="00586CED" w:rsidRDefault="00DC33D1" w:rsidP="00777CD4">
            <w:pPr>
              <w:spacing w:line="240" w:lineRule="atLeast"/>
              <w:ind w:right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b/>
                <w:color w:val="FFFFFF"/>
                <w:sz w:val="20"/>
                <w:szCs w:val="20"/>
              </w:rPr>
              <w:t>Shape, Position and Movement</w:t>
            </w:r>
          </w:p>
          <w:p w14:paraId="1C232126" w14:textId="77777777" w:rsidR="00DC33D1" w:rsidRPr="00586CED" w:rsidRDefault="00DC33D1" w:rsidP="00777CD4">
            <w:pPr>
              <w:spacing w:line="240" w:lineRule="atLeast"/>
              <w:ind w:right="0"/>
              <w:jc w:val="center"/>
              <w:rPr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Curriculum Organisers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0ABB698D" w14:textId="77777777" w:rsidR="00DC33D1" w:rsidRPr="00586CED" w:rsidRDefault="00DC33D1" w:rsidP="00777CD4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b/>
                <w:bCs/>
                <w:color w:val="FFFFFF"/>
                <w:sz w:val="20"/>
                <w:szCs w:val="20"/>
              </w:rPr>
              <w:t>Experiences and Outcomes</w:t>
            </w:r>
          </w:p>
          <w:p w14:paraId="52CD0948" w14:textId="77777777" w:rsidR="00DC33D1" w:rsidRPr="00586CED" w:rsidRDefault="00DC33D1" w:rsidP="00777CD4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bCs/>
                <w:color w:val="FFFFFF"/>
                <w:sz w:val="20"/>
                <w:szCs w:val="20"/>
              </w:rPr>
              <w:t>for planning learning, teaching and assessment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1EE9FECD" w14:textId="77777777" w:rsidR="00DC33D1" w:rsidRDefault="00DC33D1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1D5BF2">
              <w:rPr>
                <w:rFonts w:cs="Arial"/>
                <w:b/>
                <w:color w:val="FFFFFF"/>
                <w:sz w:val="20"/>
                <w:szCs w:val="20"/>
              </w:rPr>
              <w:t>Milestones</w:t>
            </w:r>
          </w:p>
          <w:p w14:paraId="11E0CAAE" w14:textId="77777777" w:rsidR="00DC33D1" w:rsidRPr="001D5BF2" w:rsidRDefault="00DC33D1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  <w:p w14:paraId="77CC1E45" w14:textId="77777777" w:rsidR="00DC33D1" w:rsidRPr="00586CED" w:rsidRDefault="00DC33D1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to support practitioners’ professional judgement</w:t>
            </w:r>
          </w:p>
        </w:tc>
      </w:tr>
      <w:tr w:rsidR="00DC33D1" w:rsidRPr="001F1B1A" w14:paraId="6EC18FF5" w14:textId="77777777" w:rsidTr="00777CD4">
        <w:trPr>
          <w:trHeight w:val="127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0A3EF056" w14:textId="77777777" w:rsidR="00DC33D1" w:rsidRPr="00586CED" w:rsidRDefault="00DC33D1" w:rsidP="00777CD4">
            <w:pPr>
              <w:spacing w:line="240" w:lineRule="atLeast"/>
              <w:ind w:right="0"/>
              <w:rPr>
                <w:rFonts w:cs="Arial"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 xml:space="preserve">Properties of </w:t>
            </w:r>
            <w:proofErr w:type="spellStart"/>
            <w:r w:rsidRPr="00586CED">
              <w:rPr>
                <w:rFonts w:cs="Arial"/>
                <w:color w:val="FFFFFF"/>
                <w:sz w:val="20"/>
                <w:szCs w:val="20"/>
              </w:rPr>
              <w:t>2D</w:t>
            </w:r>
            <w:proofErr w:type="spellEnd"/>
            <w:r w:rsidRPr="00586CED">
              <w:rPr>
                <w:rFonts w:cs="Arial"/>
                <w:color w:val="FFFFFF"/>
                <w:sz w:val="20"/>
                <w:szCs w:val="20"/>
              </w:rPr>
              <w:t xml:space="preserve"> shapes and </w:t>
            </w:r>
          </w:p>
          <w:p w14:paraId="2B96DACD" w14:textId="77777777" w:rsidR="00DC33D1" w:rsidRPr="00586CED" w:rsidRDefault="00DC33D1" w:rsidP="00777CD4">
            <w:pPr>
              <w:spacing w:line="240" w:lineRule="atLeast"/>
              <w:ind w:right="0"/>
              <w:jc w:val="both"/>
              <w:rPr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 xml:space="preserve">3D objects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FDB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enjoy investigating objects and shapes and can sort, describe and be creative with them.</w:t>
            </w:r>
          </w:p>
          <w:p w14:paraId="2CEB460B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MTH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16a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389" w14:textId="77777777" w:rsidR="00DC33D1" w:rsidRPr="00586CED" w:rsidRDefault="00DC33D1" w:rsidP="00777CD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Investigates the properties of shapes and objects through play activities such as posting shapes, stacking objects, inserting puzzle pieces</w:t>
            </w:r>
          </w:p>
          <w:p w14:paraId="43C209CF" w14:textId="77777777" w:rsidR="00DC33D1" w:rsidRPr="00586CED" w:rsidRDefault="00DC33D1" w:rsidP="00777CD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Uses objects in a way that demonstrates an awareness of their properties</w:t>
            </w:r>
          </w:p>
          <w:p w14:paraId="05FF1847" w14:textId="77777777" w:rsidR="00DC33D1" w:rsidRPr="00586CED" w:rsidRDefault="00DC33D1" w:rsidP="00777CD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Matches real life 3 D objects</w:t>
            </w:r>
          </w:p>
          <w:p w14:paraId="2653199C" w14:textId="77777777" w:rsidR="00DC33D1" w:rsidRPr="00586CED" w:rsidRDefault="00DC33D1" w:rsidP="00777CD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Matches 2 D shapes </w:t>
            </w:r>
          </w:p>
          <w:p w14:paraId="5D0A49E4" w14:textId="77777777" w:rsidR="00DC33D1" w:rsidRPr="00586CED" w:rsidRDefault="00DC33D1" w:rsidP="00777CD4">
            <w:pPr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rPr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Recognises th</w:t>
            </w:r>
            <w:r>
              <w:rPr>
                <w:rFonts w:cs="Arial"/>
                <w:color w:val="auto"/>
                <w:sz w:val="20"/>
                <w:szCs w:val="20"/>
              </w:rPr>
              <w:t>e names of some simple shapes, for example,</w:t>
            </w: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circle, star, square</w:t>
            </w:r>
          </w:p>
        </w:tc>
      </w:tr>
      <w:tr w:rsidR="00DC33D1" w:rsidRPr="001F1B1A" w14:paraId="55000CC4" w14:textId="77777777" w:rsidTr="00777CD4">
        <w:trPr>
          <w:trHeight w:val="25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12BCABEF" w14:textId="77777777" w:rsidR="00DC33D1" w:rsidRPr="00586CED" w:rsidRDefault="00DC33D1" w:rsidP="00777CD4">
            <w:pPr>
              <w:spacing w:line="240" w:lineRule="atLeast"/>
              <w:ind w:right="0"/>
              <w:rPr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Angle, symmetry and transformation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A219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In movement, games, and using technology I can use simple directions and describe positions. </w:t>
            </w:r>
          </w:p>
          <w:p w14:paraId="448394B7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47649E"/>
                <w:sz w:val="20"/>
                <w:szCs w:val="20"/>
              </w:rPr>
            </w:pPr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MTH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17a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</w:t>
            </w:r>
          </w:p>
          <w:p w14:paraId="06ECFF3C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I have had fun creating a range of symmetrical pictures and patterns using a range of media. </w:t>
            </w:r>
          </w:p>
          <w:p w14:paraId="4D08509A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FF0000"/>
                <w:sz w:val="20"/>
                <w:szCs w:val="20"/>
              </w:rPr>
            </w:pPr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MTH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19a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DC33D1" w:rsidRPr="00586CED" w:rsidRDefault="00DC33D1" w:rsidP="00777CD4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Demonstrates an understanding of simple positional language such as in, on, under, up and down</w:t>
            </w:r>
          </w:p>
          <w:p w14:paraId="1A562132" w14:textId="77777777" w:rsidR="00DC33D1" w:rsidRPr="00586CED" w:rsidRDefault="00DC33D1" w:rsidP="00777CD4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Joins in familiar movement games and activities</w:t>
            </w:r>
          </w:p>
          <w:p w14:paraId="75443707" w14:textId="77777777" w:rsidR="00DC33D1" w:rsidRPr="00586CED" w:rsidRDefault="00DC33D1" w:rsidP="00777CD4">
            <w:pPr>
              <w:numPr>
                <w:ilvl w:val="0"/>
                <w:numId w:val="2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76" w:lineRule="auto"/>
              <w:ind w:right="0"/>
              <w:rPr>
                <w:rFonts w:cs="Arial"/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Follows some simple directions within familiar movement games and dance, e.g. turn around</w:t>
            </w:r>
          </w:p>
        </w:tc>
      </w:tr>
    </w:tbl>
    <w:p w14:paraId="7DF6938A" w14:textId="77777777" w:rsidR="00DC33D1" w:rsidRPr="00586CED" w:rsidRDefault="00DC33D1" w:rsidP="00DC33D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right="0"/>
        <w:jc w:val="both"/>
        <w:rPr>
          <w:rFonts w:eastAsia="Times New Roman" w:cs="Times New Roman"/>
          <w:color w:val="auto"/>
          <w:lang w:val="en-GB"/>
        </w:rPr>
      </w:pPr>
    </w:p>
    <w:p w14:paraId="77871B40" w14:textId="77777777" w:rsidR="00DC33D1" w:rsidRPr="00586CED" w:rsidRDefault="00DC33D1" w:rsidP="00DC33D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ind w:right="0"/>
        <w:jc w:val="center"/>
        <w:rPr>
          <w:rFonts w:eastAsia="Times New Roman" w:cs="Arial"/>
          <w:b/>
          <w:color w:val="auto"/>
          <w:lang w:val="en-GB"/>
        </w:rPr>
      </w:pPr>
      <w:r w:rsidRPr="00586CED">
        <w:rPr>
          <w:rFonts w:eastAsia="Times New Roman" w:cs="Arial"/>
          <w:b/>
          <w:color w:val="auto"/>
          <w:lang w:val="en-GB"/>
        </w:rPr>
        <w:t xml:space="preserve">Pre- early level </w:t>
      </w:r>
      <w:r>
        <w:rPr>
          <w:rFonts w:eastAsia="Times New Roman" w:cs="Arial"/>
          <w:b/>
          <w:color w:val="auto"/>
          <w:lang w:val="en-GB"/>
        </w:rPr>
        <w:t>Information Handling</w:t>
      </w:r>
    </w:p>
    <w:tbl>
      <w:tblPr>
        <w:tblStyle w:val="TableGrid3"/>
        <w:tblW w:w="10348" w:type="dxa"/>
        <w:tblInd w:w="-147" w:type="dxa"/>
        <w:tblLook w:val="04A0" w:firstRow="1" w:lastRow="0" w:firstColumn="1" w:lastColumn="0" w:noHBand="0" w:noVBand="1"/>
      </w:tblPr>
      <w:tblGrid>
        <w:gridCol w:w="2269"/>
        <w:gridCol w:w="2976"/>
        <w:gridCol w:w="5103"/>
      </w:tblGrid>
      <w:tr w:rsidR="00DC33D1" w:rsidRPr="001F1B1A" w14:paraId="4BD4CBA2" w14:textId="77777777" w:rsidTr="00777CD4">
        <w:trPr>
          <w:trHeight w:val="8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152D6BDA" w14:textId="77777777" w:rsidR="00DC33D1" w:rsidRPr="00586CED" w:rsidRDefault="00DC33D1" w:rsidP="00777CD4">
            <w:pPr>
              <w:spacing w:line="240" w:lineRule="atLeast"/>
              <w:ind w:right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b/>
                <w:color w:val="FFFFFF"/>
                <w:sz w:val="20"/>
                <w:szCs w:val="20"/>
              </w:rPr>
              <w:t>Information Handling</w:t>
            </w:r>
          </w:p>
          <w:p w14:paraId="0A8F3894" w14:textId="77777777" w:rsidR="00DC33D1" w:rsidRPr="00586CED" w:rsidRDefault="00DC33D1" w:rsidP="00777CD4">
            <w:pPr>
              <w:spacing w:line="240" w:lineRule="atLeast"/>
              <w:ind w:right="0"/>
              <w:jc w:val="center"/>
              <w:rPr>
                <w:rFonts w:cs="Arial"/>
                <w:color w:val="FFFFFF"/>
                <w:sz w:val="20"/>
                <w:szCs w:val="20"/>
              </w:rPr>
            </w:pPr>
          </w:p>
          <w:p w14:paraId="337A49F4" w14:textId="77777777" w:rsidR="00DC33D1" w:rsidRPr="00586CED" w:rsidRDefault="00DC33D1" w:rsidP="00777CD4">
            <w:pPr>
              <w:spacing w:line="240" w:lineRule="atLeast"/>
              <w:ind w:right="0"/>
              <w:jc w:val="center"/>
              <w:rPr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Curriculum Organisers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7573D45A" w14:textId="77777777" w:rsidR="00DC33D1" w:rsidRPr="00586CED" w:rsidRDefault="00DC33D1" w:rsidP="00777CD4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b/>
                <w:bCs/>
                <w:color w:val="FFFFFF"/>
                <w:sz w:val="20"/>
                <w:szCs w:val="20"/>
              </w:rPr>
              <w:t>Experiences and Outcomes</w:t>
            </w:r>
          </w:p>
          <w:p w14:paraId="77A6822B" w14:textId="77777777" w:rsidR="00DC33D1" w:rsidRPr="00586CED" w:rsidRDefault="00DC33D1" w:rsidP="00777CD4">
            <w:pPr>
              <w:autoSpaceDE w:val="0"/>
              <w:autoSpaceDN w:val="0"/>
              <w:adjustRightInd w:val="0"/>
              <w:ind w:right="0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bCs/>
                <w:color w:val="FFFFFF"/>
                <w:sz w:val="20"/>
                <w:szCs w:val="20"/>
              </w:rPr>
              <w:t>for planning learning, teaching and assessment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49DCA707" w14:textId="77777777" w:rsidR="00DC33D1" w:rsidRDefault="00DC33D1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1D5BF2">
              <w:rPr>
                <w:rFonts w:cs="Arial"/>
                <w:b/>
                <w:color w:val="FFFFFF"/>
                <w:sz w:val="20"/>
                <w:szCs w:val="20"/>
              </w:rPr>
              <w:t>Milestones</w:t>
            </w:r>
          </w:p>
          <w:p w14:paraId="310097AD" w14:textId="77777777" w:rsidR="00DC33D1" w:rsidRPr="001D5BF2" w:rsidRDefault="00DC33D1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  <w:p w14:paraId="7EC7A368" w14:textId="77777777" w:rsidR="00DC33D1" w:rsidRPr="00586CED" w:rsidRDefault="00DC33D1" w:rsidP="00777C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jc w:val="center"/>
              <w:rPr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>to support practitioners’ professional judgement</w:t>
            </w:r>
          </w:p>
        </w:tc>
      </w:tr>
      <w:tr w:rsidR="00DC33D1" w:rsidRPr="001F1B1A" w14:paraId="098ACD44" w14:textId="77777777" w:rsidTr="00777CD4">
        <w:trPr>
          <w:trHeight w:val="11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</w:tcPr>
          <w:p w14:paraId="3D94F39F" w14:textId="77777777" w:rsidR="00DC33D1" w:rsidRPr="00586CED" w:rsidRDefault="00DC33D1" w:rsidP="00777CD4">
            <w:pPr>
              <w:spacing w:line="240" w:lineRule="atLeast"/>
              <w:ind w:right="0"/>
              <w:jc w:val="both"/>
              <w:rPr>
                <w:color w:val="FFFFFF"/>
                <w:sz w:val="20"/>
                <w:szCs w:val="20"/>
              </w:rPr>
            </w:pPr>
            <w:r w:rsidRPr="00586CED">
              <w:rPr>
                <w:rFonts w:cs="Arial"/>
                <w:color w:val="FFFFFF"/>
                <w:sz w:val="20"/>
                <w:szCs w:val="20"/>
              </w:rPr>
              <w:t xml:space="preserve">Data and analysis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I can collect objects and ask questions to gather information, organising and displaying my findings in different ways. </w:t>
            </w:r>
          </w:p>
          <w:p w14:paraId="0816E2C4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auto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MNU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20a</w:t>
            </w:r>
            <w:proofErr w:type="spellEnd"/>
          </w:p>
          <w:p w14:paraId="710637FE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 xml:space="preserve"> I can match objects, and sort using my own and others’ criteria, sharing my ideas with others.</w:t>
            </w:r>
          </w:p>
          <w:p w14:paraId="169EED5C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47649E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MNU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20b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</w:t>
            </w:r>
          </w:p>
          <w:p w14:paraId="6A048D0E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I can use the signs and charts around me for information, helping me plan and make choices and decisions in my daily life.</w:t>
            </w:r>
          </w:p>
          <w:p w14:paraId="4BA4397D" w14:textId="77777777" w:rsidR="00DC33D1" w:rsidRPr="00586CED" w:rsidRDefault="00DC33D1" w:rsidP="00777CD4">
            <w:pPr>
              <w:tabs>
                <w:tab w:val="right" w:pos="9000"/>
              </w:tabs>
              <w:spacing w:line="240" w:lineRule="atLeast"/>
              <w:ind w:right="0"/>
              <w:jc w:val="right"/>
              <w:rPr>
                <w:rFonts w:cs="Arial"/>
                <w:i/>
                <w:color w:val="47649E"/>
                <w:sz w:val="20"/>
                <w:szCs w:val="20"/>
              </w:rPr>
            </w:pP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MNU</w:t>
            </w:r>
            <w:proofErr w:type="spellEnd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 xml:space="preserve"> 0-</w:t>
            </w:r>
            <w:proofErr w:type="spellStart"/>
            <w:r w:rsidRPr="00586CED">
              <w:rPr>
                <w:rFonts w:cs="Arial"/>
                <w:i/>
                <w:color w:val="47649E"/>
                <w:sz w:val="20"/>
                <w:szCs w:val="20"/>
              </w:rPr>
              <w:t>20c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DC33D1" w:rsidRPr="00586CED" w:rsidRDefault="00DC33D1" w:rsidP="00777CD4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Collects or chooses a group of objects that share one property</w:t>
            </w:r>
          </w:p>
          <w:p w14:paraId="4CC4E12A" w14:textId="77777777" w:rsidR="00DC33D1" w:rsidRPr="00586CED" w:rsidRDefault="00DC33D1" w:rsidP="00777CD4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Matches specific objects to other objects, pictures or symbols</w:t>
            </w:r>
          </w:p>
          <w:p w14:paraId="37FEF415" w14:textId="77777777" w:rsidR="00DC33D1" w:rsidRPr="00586CED" w:rsidRDefault="00DC33D1" w:rsidP="00777CD4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contextualSpacing/>
              <w:rPr>
                <w:rFonts w:cs="Arial"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Sorts a group of objects using a given criteria</w:t>
            </w:r>
          </w:p>
          <w:p w14:paraId="4AE68BB7" w14:textId="77777777" w:rsidR="00DC33D1" w:rsidRPr="00586CED" w:rsidRDefault="00DC33D1" w:rsidP="00777CD4">
            <w:pPr>
              <w:numPr>
                <w:ilvl w:val="0"/>
                <w:numId w:val="2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ind w:right="0"/>
              <w:rPr>
                <w:i/>
                <w:color w:val="auto"/>
                <w:sz w:val="20"/>
                <w:szCs w:val="20"/>
              </w:rPr>
            </w:pPr>
            <w:r w:rsidRPr="00586CED">
              <w:rPr>
                <w:rFonts w:cs="Arial"/>
                <w:color w:val="auto"/>
                <w:sz w:val="20"/>
                <w:szCs w:val="20"/>
              </w:rPr>
              <w:t>Uses signs/symbols/pictures/objects of reference to help plan and make choices</w:t>
            </w:r>
          </w:p>
        </w:tc>
      </w:tr>
    </w:tbl>
    <w:p w14:paraId="4EE2D38D" w14:textId="77777777" w:rsidR="00136832" w:rsidRDefault="00136832" w:rsidP="00295B02">
      <w:pPr>
        <w:pStyle w:val="Heading1"/>
        <w:ind w:right="-8"/>
        <w:rPr>
          <w:b/>
          <w:sz w:val="32"/>
          <w:szCs w:val="32"/>
        </w:rPr>
      </w:pPr>
      <w:bookmarkStart w:id="2" w:name="_GoBack"/>
      <w:bookmarkEnd w:id="2"/>
    </w:p>
    <w:p w14:paraId="7F0DE883" w14:textId="37DAA65E" w:rsidR="00E23365" w:rsidRPr="00736E8F" w:rsidRDefault="00E23365" w:rsidP="00F17416">
      <w:pPr>
        <w:ind w:right="0"/>
      </w:pPr>
      <w:bookmarkStart w:id="3" w:name="_Section_6:_Appendices"/>
      <w:bookmarkEnd w:id="3"/>
      <w:bookmarkEnd w:id="1"/>
    </w:p>
    <w:sectPr w:rsidR="00E23365" w:rsidRPr="00736E8F" w:rsidSect="0017252D">
      <w:headerReference w:type="first" r:id="rId9"/>
      <w:footerReference w:type="first" r:id="rId10"/>
      <w:pgSz w:w="11900" w:h="16840"/>
      <w:pgMar w:top="851" w:right="851" w:bottom="851" w:left="85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C95C" w14:textId="77777777" w:rsidR="00462935" w:rsidRDefault="00462935">
      <w:r>
        <w:separator/>
      </w:r>
    </w:p>
  </w:endnote>
  <w:endnote w:type="continuationSeparator" w:id="0">
    <w:p w14:paraId="516EFAA9" w14:textId="77777777" w:rsidR="00462935" w:rsidRDefault="0046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 Arial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C9265" w14:textId="77777777" w:rsidR="00462935" w:rsidRDefault="00462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44EEF" w14:textId="77777777" w:rsidR="00462935" w:rsidRDefault="00462935">
      <w:r>
        <w:separator/>
      </w:r>
    </w:p>
  </w:footnote>
  <w:footnote w:type="continuationSeparator" w:id="0">
    <w:p w14:paraId="3F3951C0" w14:textId="77777777" w:rsidR="00462935" w:rsidRDefault="0046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1281" w14:textId="77777777" w:rsidR="00462935" w:rsidRDefault="00462935" w:rsidP="00172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34A8"/>
    <w:multiLevelType w:val="hybridMultilevel"/>
    <w:tmpl w:val="7C9AA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F2C45"/>
    <w:multiLevelType w:val="hybridMultilevel"/>
    <w:tmpl w:val="4092B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F1280"/>
    <w:multiLevelType w:val="hybridMultilevel"/>
    <w:tmpl w:val="E1C4B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2D7B"/>
    <w:multiLevelType w:val="hybridMultilevel"/>
    <w:tmpl w:val="17DA5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570F4"/>
    <w:multiLevelType w:val="hybridMultilevel"/>
    <w:tmpl w:val="9C5E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92109"/>
    <w:multiLevelType w:val="hybridMultilevel"/>
    <w:tmpl w:val="0C961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D51BC"/>
    <w:multiLevelType w:val="hybridMultilevel"/>
    <w:tmpl w:val="9AB0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63E"/>
    <w:multiLevelType w:val="hybridMultilevel"/>
    <w:tmpl w:val="68945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003E1"/>
    <w:multiLevelType w:val="hybridMultilevel"/>
    <w:tmpl w:val="ECD2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36FE2"/>
    <w:multiLevelType w:val="hybridMultilevel"/>
    <w:tmpl w:val="0FC66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A5BC7"/>
    <w:multiLevelType w:val="hybridMultilevel"/>
    <w:tmpl w:val="6E58AEDE"/>
    <w:lvl w:ilvl="0" w:tplc="0809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1" w15:restartNumberingAfterBreak="0">
    <w:nsid w:val="379C1F0C"/>
    <w:multiLevelType w:val="hybridMultilevel"/>
    <w:tmpl w:val="77F6B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24A"/>
    <w:multiLevelType w:val="hybridMultilevel"/>
    <w:tmpl w:val="EFE0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BC1B81"/>
    <w:multiLevelType w:val="hybridMultilevel"/>
    <w:tmpl w:val="C630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24BA1"/>
    <w:multiLevelType w:val="hybridMultilevel"/>
    <w:tmpl w:val="3FB45E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B32A0D"/>
    <w:multiLevelType w:val="hybridMultilevel"/>
    <w:tmpl w:val="FDF6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214DD"/>
    <w:multiLevelType w:val="hybridMultilevel"/>
    <w:tmpl w:val="4934B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F204C"/>
    <w:multiLevelType w:val="hybridMultilevel"/>
    <w:tmpl w:val="8F5C4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2F1700"/>
    <w:multiLevelType w:val="hybridMultilevel"/>
    <w:tmpl w:val="18D04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C6160"/>
    <w:multiLevelType w:val="hybridMultilevel"/>
    <w:tmpl w:val="B80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B2893"/>
    <w:multiLevelType w:val="hybridMultilevel"/>
    <w:tmpl w:val="74148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034E80"/>
    <w:multiLevelType w:val="hybridMultilevel"/>
    <w:tmpl w:val="8C08A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F81800"/>
    <w:multiLevelType w:val="hybridMultilevel"/>
    <w:tmpl w:val="20BC2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636D0A"/>
    <w:multiLevelType w:val="hybridMultilevel"/>
    <w:tmpl w:val="DE341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884225"/>
    <w:multiLevelType w:val="hybridMultilevel"/>
    <w:tmpl w:val="A46EB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07B7F"/>
    <w:multiLevelType w:val="hybridMultilevel"/>
    <w:tmpl w:val="649A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A0947"/>
    <w:multiLevelType w:val="hybridMultilevel"/>
    <w:tmpl w:val="009EF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569F2"/>
    <w:multiLevelType w:val="hybridMultilevel"/>
    <w:tmpl w:val="81DAF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F036A8"/>
    <w:multiLevelType w:val="hybridMultilevel"/>
    <w:tmpl w:val="299CA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6"/>
  </w:num>
  <w:num w:numId="5">
    <w:abstractNumId w:val="26"/>
  </w:num>
  <w:num w:numId="6">
    <w:abstractNumId w:val="1"/>
  </w:num>
  <w:num w:numId="7">
    <w:abstractNumId w:val="24"/>
  </w:num>
  <w:num w:numId="8">
    <w:abstractNumId w:val="13"/>
  </w:num>
  <w:num w:numId="9">
    <w:abstractNumId w:val="19"/>
  </w:num>
  <w:num w:numId="10">
    <w:abstractNumId w:val="28"/>
  </w:num>
  <w:num w:numId="11">
    <w:abstractNumId w:val="21"/>
  </w:num>
  <w:num w:numId="12">
    <w:abstractNumId w:val="23"/>
  </w:num>
  <w:num w:numId="13">
    <w:abstractNumId w:val="2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27"/>
  </w:num>
  <w:num w:numId="19">
    <w:abstractNumId w:val="4"/>
  </w:num>
  <w:num w:numId="20">
    <w:abstractNumId w:val="29"/>
  </w:num>
  <w:num w:numId="21">
    <w:abstractNumId w:val="18"/>
  </w:num>
  <w:num w:numId="22">
    <w:abstractNumId w:val="3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5"/>
  </w:num>
  <w:num w:numId="28">
    <w:abstractNumId w:val="10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66"/>
    <w:rsid w:val="0008005F"/>
    <w:rsid w:val="000844F9"/>
    <w:rsid w:val="000979D3"/>
    <w:rsid w:val="000B3809"/>
    <w:rsid w:val="00101B79"/>
    <w:rsid w:val="00112944"/>
    <w:rsid w:val="00126E50"/>
    <w:rsid w:val="00136832"/>
    <w:rsid w:val="00145386"/>
    <w:rsid w:val="00147A43"/>
    <w:rsid w:val="0017252D"/>
    <w:rsid w:val="001D5BF2"/>
    <w:rsid w:val="001F1B1A"/>
    <w:rsid w:val="001F302A"/>
    <w:rsid w:val="001F31F5"/>
    <w:rsid w:val="00276144"/>
    <w:rsid w:val="00295B02"/>
    <w:rsid w:val="002A4EE7"/>
    <w:rsid w:val="002D0867"/>
    <w:rsid w:val="00311E89"/>
    <w:rsid w:val="00323485"/>
    <w:rsid w:val="00360DD7"/>
    <w:rsid w:val="003F12F2"/>
    <w:rsid w:val="003F6472"/>
    <w:rsid w:val="00455081"/>
    <w:rsid w:val="00462935"/>
    <w:rsid w:val="0056447F"/>
    <w:rsid w:val="00586CED"/>
    <w:rsid w:val="005C61F2"/>
    <w:rsid w:val="005E778C"/>
    <w:rsid w:val="006C2AA7"/>
    <w:rsid w:val="00706DC9"/>
    <w:rsid w:val="00736E8F"/>
    <w:rsid w:val="00742B8C"/>
    <w:rsid w:val="00845666"/>
    <w:rsid w:val="00847EB5"/>
    <w:rsid w:val="008A08F0"/>
    <w:rsid w:val="008B3886"/>
    <w:rsid w:val="008E2B99"/>
    <w:rsid w:val="00931F2C"/>
    <w:rsid w:val="00940402"/>
    <w:rsid w:val="009B6EC8"/>
    <w:rsid w:val="00A267E7"/>
    <w:rsid w:val="00A52C21"/>
    <w:rsid w:val="00A67FA9"/>
    <w:rsid w:val="00AE3660"/>
    <w:rsid w:val="00B218B8"/>
    <w:rsid w:val="00B82AE4"/>
    <w:rsid w:val="00CE03E7"/>
    <w:rsid w:val="00CE067D"/>
    <w:rsid w:val="00D02F43"/>
    <w:rsid w:val="00D82B89"/>
    <w:rsid w:val="00DC25EF"/>
    <w:rsid w:val="00DC33D1"/>
    <w:rsid w:val="00DF2258"/>
    <w:rsid w:val="00E23365"/>
    <w:rsid w:val="00E32E7D"/>
    <w:rsid w:val="00E6398A"/>
    <w:rsid w:val="00E974BF"/>
    <w:rsid w:val="00EC63A3"/>
    <w:rsid w:val="00F17416"/>
    <w:rsid w:val="00F41D9D"/>
    <w:rsid w:val="00F67B93"/>
    <w:rsid w:val="00F95E11"/>
    <w:rsid w:val="00FC30F3"/>
    <w:rsid w:val="00FD0CEA"/>
    <w:rsid w:val="00FF0E5D"/>
    <w:rsid w:val="00FF2053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0E670C"/>
  <w14:defaultImageDpi w14:val="300"/>
  <w15:docId w15:val="{4394ED63-9333-49E7-ADA9-1725B4A6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666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666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666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845666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845666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666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845666"/>
    <w:rPr>
      <w:rFonts w:ascii="Arial" w:hAnsi="Arial"/>
      <w:color w:val="00AB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5666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845666"/>
    <w:rPr>
      <w:rFonts w:ascii="Arial" w:hAnsi="Arial"/>
      <w:b/>
      <w:color w:val="595959" w:themeColor="text1" w:themeTint="A6"/>
      <w:sz w:val="22"/>
      <w:szCs w:val="22"/>
    </w:rPr>
  </w:style>
  <w:style w:type="paragraph" w:styleId="Header">
    <w:name w:val="header"/>
    <w:basedOn w:val="Normal"/>
    <w:link w:val="HeaderChar"/>
    <w:unhideWhenUsed/>
    <w:rsid w:val="00845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5666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56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666"/>
    <w:rPr>
      <w:rFonts w:ascii="Arial" w:hAnsi="Arial"/>
      <w:color w:val="595959" w:themeColor="text1" w:themeTint="A6"/>
      <w:sz w:val="22"/>
      <w:szCs w:val="22"/>
    </w:rPr>
  </w:style>
  <w:style w:type="paragraph" w:styleId="ListParagraph">
    <w:name w:val="List Paragraph"/>
    <w:basedOn w:val="Normal"/>
    <w:uiPriority w:val="34"/>
    <w:qFormat/>
    <w:rsid w:val="00845666"/>
    <w:pPr>
      <w:numPr>
        <w:numId w:val="1"/>
      </w:numPr>
      <w:spacing w:line="276" w:lineRule="auto"/>
      <w:ind w:left="0" w:right="0" w:firstLine="284"/>
      <w:contextualSpacing/>
    </w:pPr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45666"/>
  </w:style>
  <w:style w:type="paragraph" w:customStyle="1" w:styleId="Coverheadings1">
    <w:name w:val="Cover headings 1"/>
    <w:qFormat/>
    <w:rsid w:val="00845666"/>
    <w:rPr>
      <w:rFonts w:ascii="Arial" w:hAnsi="Arial"/>
      <w:color w:val="00ABB5"/>
      <w:sz w:val="100"/>
      <w:szCs w:val="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666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5666"/>
    <w:rPr>
      <w:rFonts w:ascii="Arial" w:hAnsi="Arial"/>
      <w:b/>
      <w:color w:val="B3D236"/>
      <w:sz w:val="22"/>
    </w:rPr>
  </w:style>
  <w:style w:type="paragraph" w:customStyle="1" w:styleId="Cover-text">
    <w:name w:val="Cover - text"/>
    <w:basedOn w:val="Normal"/>
    <w:rsid w:val="00845666"/>
    <w:pPr>
      <w:ind w:right="3394"/>
    </w:pPr>
  </w:style>
  <w:style w:type="paragraph" w:customStyle="1" w:styleId="CoverHeading2">
    <w:name w:val="Cover Heading 2"/>
    <w:qFormat/>
    <w:rsid w:val="00845666"/>
    <w:rPr>
      <w:rFonts w:ascii="Arial" w:hAnsi="Arial"/>
      <w:b/>
      <w:color w:val="B3D236"/>
      <w:sz w:val="36"/>
      <w:szCs w:val="36"/>
    </w:rPr>
  </w:style>
  <w:style w:type="paragraph" w:customStyle="1" w:styleId="Pa0">
    <w:name w:val="Pa0"/>
    <w:basedOn w:val="Normal"/>
    <w:next w:val="Normal"/>
    <w:uiPriority w:val="99"/>
    <w:rsid w:val="00736E8F"/>
    <w:pPr>
      <w:widowControl w:val="0"/>
      <w:autoSpaceDE w:val="0"/>
      <w:autoSpaceDN w:val="0"/>
      <w:adjustRightInd w:val="0"/>
      <w:spacing w:line="241" w:lineRule="atLeast"/>
      <w:ind w:right="0"/>
    </w:pPr>
    <w:rPr>
      <w:rFonts w:cs="Times New Roman"/>
      <w:color w:val="auto"/>
      <w:sz w:val="24"/>
      <w:szCs w:val="24"/>
    </w:rPr>
  </w:style>
  <w:style w:type="character" w:customStyle="1" w:styleId="A1">
    <w:name w:val="A1"/>
    <w:uiPriority w:val="99"/>
    <w:rsid w:val="00736E8F"/>
    <w:rPr>
      <w:rFonts w:cs="Arial"/>
      <w:b/>
      <w:bCs/>
      <w:color w:val="B3D333"/>
      <w:sz w:val="22"/>
      <w:szCs w:val="22"/>
    </w:rPr>
  </w:style>
  <w:style w:type="character" w:customStyle="1" w:styleId="A2">
    <w:name w:val="A2"/>
    <w:uiPriority w:val="99"/>
    <w:rsid w:val="00736E8F"/>
    <w:rPr>
      <w:rFonts w:ascii="M Arial" w:hAnsi="M Arial" w:cs="M Arial"/>
      <w:i/>
      <w:iCs/>
      <w:color w:val="221E1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E7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E50"/>
    <w:pPr>
      <w:ind w:right="0"/>
    </w:pPr>
    <w:rPr>
      <w:rFonts w:eastAsia="Times New Roman" w:cs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E50"/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26E50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E5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6E50"/>
    <w:pPr>
      <w:ind w:right="0"/>
    </w:pPr>
    <w:rPr>
      <w:rFonts w:eastAsia="Times New Roman" w:cs="Times New Roman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6E50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26E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6E5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126E50"/>
    <w:pPr>
      <w:ind w:right="0"/>
    </w:pPr>
    <w:rPr>
      <w:rFonts w:eastAsia="Times New Roman" w:cs="Times New Roman"/>
      <w:color w:val="auto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26E50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26E5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26E50"/>
    <w:pPr>
      <w:keepNext/>
      <w:keepLines/>
      <w:spacing w:before="240" w:line="259" w:lineRule="auto"/>
      <w:ind w:right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126E50"/>
    <w:pPr>
      <w:spacing w:after="100" w:line="259" w:lineRule="auto"/>
      <w:ind w:left="220" w:right="0"/>
    </w:pPr>
    <w:rPr>
      <w:rFonts w:asciiTheme="minorHAnsi" w:hAnsiTheme="minorHAnsi" w:cs="Times New Roman"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126E50"/>
    <w:pPr>
      <w:spacing w:after="100" w:line="259" w:lineRule="auto"/>
      <w:ind w:right="0"/>
    </w:pPr>
    <w:rPr>
      <w:rFonts w:asciiTheme="minorHAnsi" w:hAnsiTheme="minorHAnsi"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26E5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8B8"/>
    <w:pPr>
      <w:ind w:right="2835"/>
    </w:pPr>
    <w:rPr>
      <w:rFonts w:eastAsiaTheme="minorEastAsia" w:cstheme="minorBidi"/>
      <w:b/>
      <w:bCs/>
      <w:color w:val="595959" w:themeColor="text1" w:themeTint="A6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8B8"/>
    <w:rPr>
      <w:rFonts w:ascii="Arial" w:eastAsia="Times New Roman" w:hAnsi="Arial" w:cs="Times New Roman"/>
      <w:b/>
      <w:bCs/>
      <w:color w:val="595959" w:themeColor="text1" w:themeTint="A6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586CED"/>
    <w:rPr>
      <w:rFonts w:ascii="Arial" w:eastAsia="Times New Roman" w:hAnsi="Arial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6CED"/>
    <w:rPr>
      <w:rFonts w:ascii="Arial" w:eastAsia="Times New Roman" w:hAnsi="Arial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86CED"/>
    <w:rPr>
      <w:rFonts w:ascii="Arial" w:eastAsia="Times New Roman" w:hAnsi="Arial" w:cs="Times New Roman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A21631669</value>
    </field>
    <field name="Objective-Title">
      <value order="0">Full document template_blue</value>
    </field>
    <field name="Objective-Description">
      <value order="0"/>
    </field>
    <field name="Objective-CreationStamp">
      <value order="0">2018-07-18T13:28:53Z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2018-07-18T13:29:03Z</value>
    </field>
    <field name="Objective-Owner">
      <value order="0">Gore, Hazel H (Z612349)</value>
    </field>
    <field name="Objective-Path">
      <value order="0">Objective Global Folder:SG File Plan:Administration:Corporate strategy:Communications:General: Communications:Education Scotland: Communications: Branding and Templates: 2016-2021</value>
    </field>
    <field name="Objective-Parent">
      <value order="0">Education Scotland: Communications: Branding and Templates: 2016-2021</value>
    </field>
    <field name="Objective-State">
      <value order="0">Being Drafted</value>
    </field>
    <field name="Objective-VersionId">
      <value order="0">vA30455267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qA635530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Connect Creator">
        <value order="0"/>
      </field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CCF1B7BC-2884-4E19-A77C-F46F17BF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Scotland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U444229</dc:creator>
  <cp:lastModifiedBy>Mccullough J (Janine)</cp:lastModifiedBy>
  <cp:revision>3</cp:revision>
  <dcterms:created xsi:type="dcterms:W3CDTF">2019-09-27T15:22:00Z</dcterms:created>
  <dcterms:modified xsi:type="dcterms:W3CDTF">2019-10-10T08:37:00Z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A21631669</vt:lpwstr>
  </property>
  <property fmtid="{D5CDD505-2E9C-101B-9397-08002B2CF9AE}" pid="4" name="Objective-Title">
    <vt:lpwstr>Full document template_blue</vt:lpwstr>
  </property>
  <property fmtid="{D5CDD505-2E9C-101B-9397-08002B2CF9AE}" pid="5" name="Objective-Description">
    <vt:lpwstr/>
  </property>
  <property fmtid="{D5CDD505-2E9C-101B-9397-08002B2CF9AE}" pid="6" name="Objective-CreationStamp">
    <vt:filetime>2018-07-18T13:28:58Z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2018-07-18T13:30:14Z</vt:filetime>
  </property>
  <property fmtid="{D5CDD505-2E9C-101B-9397-08002B2CF9AE}" pid="11" name="Objective-Owner">
    <vt:lpwstr>Gore, Hazel H (Z612349)</vt:lpwstr>
  </property>
  <property fmtid="{D5CDD505-2E9C-101B-9397-08002B2CF9AE}" pid="12" name="Objective-Path">
    <vt:lpwstr>Objective Global Folder:SG File Plan:Administration:Corporate strategy:Communications:General: Communications:Education Scotland: Communications: Branding and Templates: 2016-2021:</vt:lpwstr>
  </property>
  <property fmtid="{D5CDD505-2E9C-101B-9397-08002B2CF9AE}" pid="13" name="Objective-Parent">
    <vt:lpwstr>Education Scotland: Communications: Branding and Templates: 2016-2021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vA30455267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