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A99B" w14:textId="689B8BFE" w:rsidR="00D86C25" w:rsidRPr="00D86C25" w:rsidRDefault="00D86C25" w:rsidP="00D86C25">
      <w:pPr>
        <w:ind w:right="-897"/>
      </w:pPr>
      <w:r w:rsidRPr="00D86C25">
        <w:rPr>
          <w:noProof/>
        </w:rPr>
        <w:drawing>
          <wp:inline distT="0" distB="0" distL="0" distR="0" wp14:anchorId="1D7662E5" wp14:editId="2C402062">
            <wp:extent cx="2146416" cy="736449"/>
            <wp:effectExtent l="0" t="0" r="0" b="0"/>
            <wp:docPr id="1369431353" name="Picture 1" descr="Educ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31353" name="Picture 1" descr="Education Scotlan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683" cy="761588"/>
                    </a:xfrm>
                    <a:prstGeom prst="rect">
                      <a:avLst/>
                    </a:prstGeom>
                  </pic:spPr>
                </pic:pic>
              </a:graphicData>
            </a:graphic>
          </wp:inline>
        </w:drawing>
      </w:r>
      <w:r w:rsidRPr="00D86C25">
        <w:tab/>
      </w:r>
      <w:r>
        <w:tab/>
      </w:r>
      <w:r>
        <w:tab/>
      </w:r>
      <w:r>
        <w:tab/>
      </w:r>
      <w:r w:rsidRPr="00D86C25">
        <w:tab/>
      </w:r>
      <w:r w:rsidRPr="00D86C25">
        <w:rPr>
          <w:noProof/>
        </w:rPr>
        <w:drawing>
          <wp:inline distT="0" distB="0" distL="0" distR="0" wp14:anchorId="20F3E02F" wp14:editId="19FE820A">
            <wp:extent cx="1758950" cy="817133"/>
            <wp:effectExtent l="0" t="0" r="0" b="0"/>
            <wp:docPr id="469785222" name="Picture 2" descr="Norther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85222" name="Picture 2" descr="Northern allia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655" cy="836972"/>
                    </a:xfrm>
                    <a:prstGeom prst="rect">
                      <a:avLst/>
                    </a:prstGeom>
                  </pic:spPr>
                </pic:pic>
              </a:graphicData>
            </a:graphic>
          </wp:inline>
        </w:drawing>
      </w:r>
    </w:p>
    <w:p w14:paraId="3782A47B" w14:textId="76D19E32" w:rsidR="00036D57" w:rsidRPr="00036D57" w:rsidRDefault="00036D57" w:rsidP="00036D57">
      <w:pPr>
        <w:pStyle w:val="Title"/>
        <w:rPr>
          <w:rFonts w:ascii="Arial" w:eastAsia="Times New Roman" w:hAnsi="Arial" w:cs="Arial"/>
          <w:sz w:val="52"/>
          <w:szCs w:val="52"/>
        </w:rPr>
      </w:pPr>
      <w:r w:rsidRPr="00036D57">
        <w:rPr>
          <w:rFonts w:ascii="Arial" w:eastAsia="Times New Roman" w:hAnsi="Arial" w:cs="Arial"/>
          <w:sz w:val="52"/>
          <w:szCs w:val="52"/>
        </w:rPr>
        <w:t xml:space="preserve">Equalities </w:t>
      </w:r>
      <w:r w:rsidRPr="00036D57">
        <w:rPr>
          <w:rFonts w:ascii="Arial" w:hAnsi="Arial" w:cs="Arial"/>
          <w:sz w:val="52"/>
          <w:szCs w:val="52"/>
        </w:rPr>
        <w:t>p</w:t>
      </w:r>
      <w:r w:rsidRPr="00036D57">
        <w:rPr>
          <w:rFonts w:ascii="Arial" w:eastAsia="Times New Roman" w:hAnsi="Arial" w:cs="Arial"/>
          <w:sz w:val="52"/>
          <w:szCs w:val="52"/>
        </w:rPr>
        <w:t xml:space="preserve">olicy </w:t>
      </w:r>
      <w:r w:rsidRPr="00036D57">
        <w:rPr>
          <w:rFonts w:ascii="Arial" w:hAnsi="Arial" w:cs="Arial"/>
          <w:sz w:val="52"/>
          <w:szCs w:val="52"/>
        </w:rPr>
        <w:t>s</w:t>
      </w:r>
      <w:r w:rsidRPr="00036D57">
        <w:rPr>
          <w:rFonts w:ascii="Arial" w:eastAsia="Times New Roman" w:hAnsi="Arial" w:cs="Arial"/>
          <w:sz w:val="52"/>
          <w:szCs w:val="52"/>
        </w:rPr>
        <w:t>elf-</w:t>
      </w:r>
      <w:r w:rsidRPr="00036D57">
        <w:rPr>
          <w:rFonts w:ascii="Arial" w:hAnsi="Arial" w:cs="Arial"/>
          <w:sz w:val="52"/>
          <w:szCs w:val="52"/>
        </w:rPr>
        <w:t>e</w:t>
      </w:r>
      <w:r w:rsidRPr="00036D57">
        <w:rPr>
          <w:rFonts w:ascii="Arial" w:eastAsia="Times New Roman" w:hAnsi="Arial" w:cs="Arial"/>
          <w:sz w:val="52"/>
          <w:szCs w:val="52"/>
        </w:rPr>
        <w:t>valuation</w:t>
      </w:r>
      <w:r w:rsidRPr="00036D57">
        <w:rPr>
          <w:rFonts w:ascii="Arial" w:hAnsi="Arial" w:cs="Arial"/>
          <w:sz w:val="52"/>
          <w:szCs w:val="52"/>
        </w:rPr>
        <w:t xml:space="preserve"> toolkit</w:t>
      </w:r>
    </w:p>
    <w:p w14:paraId="35C2CE61" w14:textId="787F78FC" w:rsidR="00D86C25" w:rsidRPr="00D86C25" w:rsidRDefault="00D86C25" w:rsidP="00D86C25">
      <w:pPr>
        <w:spacing w:before="360"/>
      </w:pPr>
      <w:r w:rsidRPr="00D86C25">
        <w:t>This self-evaluation toolkit is designed to help your setting identify strengths and areas for development to support settings to evaluate the most effective approaches to achieving equality and children’s rights, and to help establishments and the wider system.</w:t>
      </w:r>
    </w:p>
    <w:p w14:paraId="0D741F15" w14:textId="77777777" w:rsidR="00D86C25" w:rsidRPr="00D86C25" w:rsidRDefault="00D86C25" w:rsidP="00D86C25">
      <w:pPr>
        <w:spacing w:after="120"/>
      </w:pPr>
      <w:r w:rsidRPr="00D86C25">
        <w:t>The toolkit is divided into three sections which of equal importance:</w:t>
      </w:r>
    </w:p>
    <w:p w14:paraId="3AD912D0" w14:textId="77777777" w:rsidR="00D86C25" w:rsidRPr="00D86C25" w:rsidRDefault="00D86C25" w:rsidP="00D86C25">
      <w:pPr>
        <w:pStyle w:val="ListParagraph"/>
        <w:numPr>
          <w:ilvl w:val="0"/>
          <w:numId w:val="10"/>
        </w:numPr>
        <w:spacing w:before="0" w:after="360"/>
        <w:ind w:left="714" w:hanging="357"/>
        <w:contextualSpacing/>
      </w:pPr>
      <w:r w:rsidRPr="00D86C25">
        <w:t>leadership</w:t>
      </w:r>
    </w:p>
    <w:p w14:paraId="34B39985" w14:textId="4886D5D0" w:rsidR="00D86C25" w:rsidRPr="00D86C25" w:rsidRDefault="00D86C25" w:rsidP="00D86C25">
      <w:pPr>
        <w:pStyle w:val="ListParagraph"/>
        <w:numPr>
          <w:ilvl w:val="0"/>
          <w:numId w:val="10"/>
        </w:numPr>
        <w:spacing w:before="0" w:after="360"/>
        <w:ind w:left="714" w:hanging="357"/>
        <w:contextualSpacing/>
      </w:pPr>
      <w:r w:rsidRPr="00D86C25">
        <w:t>learning and teaching</w:t>
      </w:r>
    </w:p>
    <w:p w14:paraId="691542A1" w14:textId="77777777" w:rsidR="00D86C25" w:rsidRPr="00D86C25" w:rsidRDefault="00D86C25" w:rsidP="00D86C25">
      <w:pPr>
        <w:pStyle w:val="ListParagraph"/>
        <w:numPr>
          <w:ilvl w:val="0"/>
          <w:numId w:val="10"/>
        </w:numPr>
        <w:spacing w:before="0"/>
        <w:ind w:left="714" w:hanging="357"/>
        <w:contextualSpacing/>
      </w:pPr>
      <w:r w:rsidRPr="00D86C25">
        <w:t>families and communities</w:t>
      </w:r>
    </w:p>
    <w:p w14:paraId="6FAA06FB" w14:textId="77777777" w:rsidR="00D86C25" w:rsidRPr="00D86C25" w:rsidRDefault="00D86C25" w:rsidP="00D86C25">
      <w:pPr>
        <w:ind w:right="-330"/>
      </w:pPr>
      <w:r w:rsidRPr="00D86C25">
        <w:t>Your setting may wish to carry out your self-evaluation journey one step at a time or carry out the whole exercise holistically. It is essential, when deciding on a response to questions, that you consider the validity and reliability of the evidence base for your decision.</w:t>
      </w:r>
    </w:p>
    <w:p w14:paraId="68DACBFC" w14:textId="6A4CB6B8" w:rsidR="00D86C25" w:rsidRPr="00D86C25" w:rsidRDefault="00D86C25" w:rsidP="00D86C25">
      <w:pPr>
        <w:spacing w:after="120"/>
      </w:pPr>
      <w:r w:rsidRPr="00D86C25">
        <w:t>The following questions remain at the heart of self-evaluation:</w:t>
      </w:r>
    </w:p>
    <w:p w14:paraId="2CD065AE" w14:textId="77777777" w:rsidR="00D86C25" w:rsidRPr="00D86C25" w:rsidRDefault="00D86C25" w:rsidP="00D86C25">
      <w:pPr>
        <w:pStyle w:val="ListParagraph"/>
        <w:numPr>
          <w:ilvl w:val="0"/>
          <w:numId w:val="11"/>
        </w:numPr>
        <w:spacing w:before="0" w:after="360"/>
        <w:ind w:left="714" w:hanging="357"/>
        <w:contextualSpacing/>
      </w:pPr>
      <w:r w:rsidRPr="00D86C25">
        <w:t>How are we doing?</w:t>
      </w:r>
    </w:p>
    <w:p w14:paraId="51D98399" w14:textId="77777777" w:rsidR="00D86C25" w:rsidRPr="00D86C25" w:rsidRDefault="00D86C25" w:rsidP="00D86C25">
      <w:pPr>
        <w:pStyle w:val="ListParagraph"/>
        <w:numPr>
          <w:ilvl w:val="0"/>
          <w:numId w:val="11"/>
        </w:numPr>
        <w:spacing w:before="0" w:after="360"/>
        <w:ind w:left="714" w:hanging="357"/>
        <w:contextualSpacing/>
      </w:pPr>
      <w:r w:rsidRPr="00D86C25">
        <w:t>How do we know?</w:t>
      </w:r>
    </w:p>
    <w:p w14:paraId="209A780C" w14:textId="3F47CE8D" w:rsidR="003B6727" w:rsidRDefault="00D86C25" w:rsidP="003B6727">
      <w:pPr>
        <w:pStyle w:val="ListParagraph"/>
        <w:numPr>
          <w:ilvl w:val="0"/>
          <w:numId w:val="11"/>
        </w:numPr>
        <w:spacing w:before="0"/>
        <w:ind w:left="714" w:hanging="357"/>
        <w:contextualSpacing/>
      </w:pPr>
      <w:r w:rsidRPr="00D86C25">
        <w:t>What are we going to do now?</w:t>
      </w:r>
    </w:p>
    <w:p w14:paraId="182ED7AF" w14:textId="0924B9F7" w:rsidR="00B00FBE" w:rsidRDefault="00B00FBE">
      <w:pPr>
        <w:spacing w:before="-1" w:beforeAutospacing="1" w:after="-1" w:afterAutospacing="1"/>
        <w:rPr>
          <w:kern w:val="24"/>
          <w:sz w:val="48"/>
          <w:szCs w:val="48"/>
        </w:rPr>
      </w:pPr>
      <w:r>
        <w:br w:type="page"/>
      </w:r>
    </w:p>
    <w:p w14:paraId="3E5AB8EC" w14:textId="259FF65C" w:rsidR="00B00FBE" w:rsidRPr="00E73E09" w:rsidRDefault="00FE34EF" w:rsidP="00E73E09">
      <w:pPr>
        <w:pStyle w:val="Heading1"/>
      </w:pPr>
      <w:r w:rsidRPr="00D4492E">
        <w:lastRenderedPageBreak/>
        <w:t>Aims</w:t>
      </w:r>
    </w:p>
    <w:tbl>
      <w:tblPr>
        <w:tblStyle w:val="TableGrid"/>
        <w:tblW w:w="10060" w:type="dxa"/>
        <w:tblLook w:val="04A0" w:firstRow="1" w:lastRow="0" w:firstColumn="1" w:lastColumn="0" w:noHBand="0" w:noVBand="1"/>
      </w:tblPr>
      <w:tblGrid>
        <w:gridCol w:w="5382"/>
        <w:gridCol w:w="1559"/>
        <w:gridCol w:w="1483"/>
        <w:gridCol w:w="1636"/>
      </w:tblGrid>
      <w:tr w:rsidR="00BE0321" w:rsidRPr="0033542E" w14:paraId="474CBB1E" w14:textId="77777777" w:rsidTr="007C1EE3">
        <w:tc>
          <w:tcPr>
            <w:tcW w:w="5382" w:type="dxa"/>
            <w:tcBorders>
              <w:bottom w:val="single" w:sz="4" w:space="0" w:color="auto"/>
            </w:tcBorders>
            <w:shd w:val="clear" w:color="auto" w:fill="auto"/>
          </w:tcPr>
          <w:p w14:paraId="382715A0" w14:textId="529E15D5" w:rsidR="00BE0321" w:rsidRPr="00653F7E" w:rsidRDefault="00BE0321" w:rsidP="00E73E09">
            <w:pPr>
              <w:spacing w:after="120" w:line="276" w:lineRule="auto"/>
              <w:ind w:left="0"/>
              <w:jc w:val="both"/>
              <w:rPr>
                <w:b/>
                <w:bCs/>
                <w:color w:val="0070C0"/>
              </w:rPr>
            </w:pPr>
            <w:r w:rsidRPr="004915A0">
              <w:rPr>
                <w:b/>
                <w:bCs/>
              </w:rPr>
              <w:t>Self-evaluation and research</w:t>
            </w:r>
          </w:p>
        </w:tc>
        <w:tc>
          <w:tcPr>
            <w:tcW w:w="1559" w:type="dxa"/>
            <w:tcBorders>
              <w:bottom w:val="single" w:sz="4" w:space="0" w:color="auto"/>
            </w:tcBorders>
          </w:tcPr>
          <w:p w14:paraId="57B6E8EC" w14:textId="402E32D2" w:rsidR="00BE0321" w:rsidRPr="00B26722" w:rsidRDefault="00BE0321" w:rsidP="00E73E09">
            <w:pPr>
              <w:spacing w:after="120" w:line="276" w:lineRule="auto"/>
              <w:jc w:val="center"/>
              <w:rPr>
                <w:b/>
                <w:bCs/>
                <w:color w:val="FF0000"/>
              </w:rPr>
            </w:pPr>
            <w:r w:rsidRPr="00D4492E">
              <w:rPr>
                <w:b/>
                <w:bCs/>
                <w:color w:val="C00000"/>
              </w:rPr>
              <w:t>Exploring</w:t>
            </w:r>
          </w:p>
        </w:tc>
        <w:tc>
          <w:tcPr>
            <w:tcW w:w="1483" w:type="dxa"/>
            <w:tcBorders>
              <w:bottom w:val="single" w:sz="4" w:space="0" w:color="auto"/>
            </w:tcBorders>
          </w:tcPr>
          <w:p w14:paraId="236A3F70" w14:textId="5C58A638" w:rsidR="00BE0321" w:rsidRPr="0033542E" w:rsidRDefault="00BE0321" w:rsidP="00E73E09">
            <w:pPr>
              <w:spacing w:after="120" w:line="276" w:lineRule="auto"/>
              <w:jc w:val="center"/>
              <w:rPr>
                <w:b/>
                <w:bCs/>
                <w:color w:val="EAB200"/>
              </w:rPr>
            </w:pPr>
            <w:r w:rsidRPr="00BE0321">
              <w:rPr>
                <w:b/>
                <w:bCs/>
                <w:color w:val="806000" w:themeColor="accent4" w:themeShade="80"/>
              </w:rPr>
              <w:t>Adopting</w:t>
            </w:r>
          </w:p>
        </w:tc>
        <w:tc>
          <w:tcPr>
            <w:tcW w:w="1636" w:type="dxa"/>
            <w:tcBorders>
              <w:bottom w:val="single" w:sz="4" w:space="0" w:color="auto"/>
            </w:tcBorders>
          </w:tcPr>
          <w:p w14:paraId="199D6C34" w14:textId="67FF4F0B" w:rsidR="00BE0321" w:rsidRPr="0033542E" w:rsidRDefault="00BE0321" w:rsidP="00E73E09">
            <w:pPr>
              <w:spacing w:after="120" w:line="276" w:lineRule="auto"/>
              <w:jc w:val="center"/>
              <w:rPr>
                <w:b/>
                <w:bCs/>
              </w:rPr>
            </w:pPr>
            <w:r w:rsidRPr="00D4492E">
              <w:rPr>
                <w:b/>
                <w:bCs/>
                <w:color w:val="385623" w:themeColor="accent6" w:themeShade="80"/>
              </w:rPr>
              <w:t>Embedding</w:t>
            </w:r>
          </w:p>
        </w:tc>
      </w:tr>
      <w:tr w:rsidR="00653F7E" w:rsidRPr="0033542E" w14:paraId="03631CF9" w14:textId="77777777" w:rsidTr="007C1EE3">
        <w:tc>
          <w:tcPr>
            <w:tcW w:w="5382" w:type="dxa"/>
          </w:tcPr>
          <w:p w14:paraId="65B33886" w14:textId="23528357" w:rsidR="00653F7E" w:rsidRPr="0033542E" w:rsidRDefault="00653F7E" w:rsidP="00E73E09">
            <w:pPr>
              <w:spacing w:after="120" w:line="276" w:lineRule="auto"/>
            </w:pPr>
            <w:r w:rsidRPr="0033542E">
              <w:t>Practitioners, learners, and the wider setting community understand the impact of inequality (that different groups face different barriers and treating everyone the same will not lead to equal outcomes) and all practitioners demonstrate collective responsibility to initiate and contribute to well-informed change in response to imbalances.</w:t>
            </w:r>
          </w:p>
        </w:tc>
        <w:tc>
          <w:tcPr>
            <w:tcW w:w="1559" w:type="dxa"/>
          </w:tcPr>
          <w:p w14:paraId="50BB7177" w14:textId="77777777" w:rsidR="00653F7E" w:rsidRPr="0033542E" w:rsidRDefault="00653F7E" w:rsidP="00E73E09">
            <w:pPr>
              <w:spacing w:after="120" w:line="276" w:lineRule="auto"/>
            </w:pPr>
          </w:p>
        </w:tc>
        <w:tc>
          <w:tcPr>
            <w:tcW w:w="1483" w:type="dxa"/>
          </w:tcPr>
          <w:p w14:paraId="41FCB121" w14:textId="77777777" w:rsidR="00653F7E" w:rsidRPr="0033542E" w:rsidRDefault="00653F7E" w:rsidP="00E73E09">
            <w:pPr>
              <w:spacing w:after="120" w:line="276" w:lineRule="auto"/>
            </w:pPr>
          </w:p>
        </w:tc>
        <w:tc>
          <w:tcPr>
            <w:tcW w:w="1636" w:type="dxa"/>
          </w:tcPr>
          <w:p w14:paraId="16242318" w14:textId="77777777" w:rsidR="00653F7E" w:rsidRPr="0033542E" w:rsidRDefault="00653F7E" w:rsidP="00E73E09">
            <w:pPr>
              <w:spacing w:after="120" w:line="276" w:lineRule="auto"/>
            </w:pPr>
          </w:p>
        </w:tc>
      </w:tr>
      <w:tr w:rsidR="00653F7E" w:rsidRPr="0033542E" w14:paraId="57F32D43" w14:textId="77777777" w:rsidTr="007C1EE3">
        <w:tc>
          <w:tcPr>
            <w:tcW w:w="5382" w:type="dxa"/>
          </w:tcPr>
          <w:p w14:paraId="0C5B3A5A" w14:textId="2DCE6390" w:rsidR="00653F7E" w:rsidRPr="0033542E" w:rsidRDefault="00653F7E" w:rsidP="00E73E09">
            <w:pPr>
              <w:spacing w:after="120" w:line="276" w:lineRule="auto"/>
            </w:pPr>
            <w:r w:rsidRPr="0033542E">
              <w:t xml:space="preserve">Space is regularly created in meetings at every level to discuss equalities and to share interesting practice and innovative approaches. Good practice internally and externally </w:t>
            </w:r>
            <w:r w:rsidRPr="0033542E">
              <w:t>is celebrated, shared,</w:t>
            </w:r>
            <w:r w:rsidRPr="0033542E">
              <w:t xml:space="preserve"> and used to inspire further change. Learner views are regularly gathered and shared in these spaces.</w:t>
            </w:r>
          </w:p>
        </w:tc>
        <w:tc>
          <w:tcPr>
            <w:tcW w:w="1559" w:type="dxa"/>
          </w:tcPr>
          <w:p w14:paraId="2A5D2154" w14:textId="77777777" w:rsidR="00653F7E" w:rsidRPr="0033542E" w:rsidRDefault="00653F7E" w:rsidP="00E73E09">
            <w:pPr>
              <w:spacing w:after="120" w:line="276" w:lineRule="auto"/>
            </w:pPr>
          </w:p>
        </w:tc>
        <w:tc>
          <w:tcPr>
            <w:tcW w:w="1483" w:type="dxa"/>
          </w:tcPr>
          <w:p w14:paraId="51D46F74" w14:textId="77777777" w:rsidR="00653F7E" w:rsidRPr="0033542E" w:rsidRDefault="00653F7E" w:rsidP="00E73E09">
            <w:pPr>
              <w:spacing w:after="120" w:line="276" w:lineRule="auto"/>
            </w:pPr>
          </w:p>
        </w:tc>
        <w:tc>
          <w:tcPr>
            <w:tcW w:w="1636" w:type="dxa"/>
          </w:tcPr>
          <w:p w14:paraId="5DC48A1C" w14:textId="77777777" w:rsidR="00653F7E" w:rsidRPr="0033542E" w:rsidRDefault="00653F7E" w:rsidP="00E73E09">
            <w:pPr>
              <w:spacing w:after="120" w:line="276" w:lineRule="auto"/>
            </w:pPr>
          </w:p>
        </w:tc>
      </w:tr>
      <w:tr w:rsidR="00653F7E" w:rsidRPr="0033542E" w14:paraId="567200F3" w14:textId="77777777" w:rsidTr="007C1EE3">
        <w:tc>
          <w:tcPr>
            <w:tcW w:w="5382" w:type="dxa"/>
          </w:tcPr>
          <w:p w14:paraId="271C3C0F" w14:textId="435EC632" w:rsidR="00653F7E" w:rsidRPr="0033542E" w:rsidRDefault="00653F7E" w:rsidP="00E73E09">
            <w:pPr>
              <w:spacing w:after="120" w:line="276" w:lineRule="auto"/>
            </w:pPr>
            <w:r w:rsidRPr="0033542E">
              <w:t>There is a shared vision, values and aims for equalities work which continues to evolve through ongoing debate, dialogue and reflection across the establishment, with learners, community and wider stakeholders.</w:t>
            </w:r>
          </w:p>
        </w:tc>
        <w:tc>
          <w:tcPr>
            <w:tcW w:w="1559" w:type="dxa"/>
          </w:tcPr>
          <w:p w14:paraId="795D57A1" w14:textId="77777777" w:rsidR="00653F7E" w:rsidRPr="0033542E" w:rsidRDefault="00653F7E" w:rsidP="00E73E09">
            <w:pPr>
              <w:spacing w:after="120" w:line="276" w:lineRule="auto"/>
            </w:pPr>
          </w:p>
        </w:tc>
        <w:tc>
          <w:tcPr>
            <w:tcW w:w="1483" w:type="dxa"/>
          </w:tcPr>
          <w:p w14:paraId="0CF7AA76" w14:textId="77777777" w:rsidR="00653F7E" w:rsidRPr="0033542E" w:rsidRDefault="00653F7E" w:rsidP="00E73E09">
            <w:pPr>
              <w:spacing w:after="120" w:line="276" w:lineRule="auto"/>
            </w:pPr>
          </w:p>
        </w:tc>
        <w:tc>
          <w:tcPr>
            <w:tcW w:w="1636" w:type="dxa"/>
          </w:tcPr>
          <w:p w14:paraId="14533056" w14:textId="77777777" w:rsidR="00653F7E" w:rsidRPr="0033542E" w:rsidRDefault="00653F7E" w:rsidP="00E73E09">
            <w:pPr>
              <w:spacing w:after="120" w:line="276" w:lineRule="auto"/>
            </w:pPr>
          </w:p>
        </w:tc>
      </w:tr>
    </w:tbl>
    <w:p w14:paraId="325F34BD" w14:textId="77777777" w:rsidR="00D4492E" w:rsidRDefault="00D4492E" w:rsidP="00E73E09">
      <w:pPr>
        <w:pStyle w:val="Heading1"/>
      </w:pPr>
    </w:p>
    <w:p w14:paraId="37E06EC0" w14:textId="77777777" w:rsidR="00D4492E" w:rsidRDefault="00D4492E">
      <w:pPr>
        <w:spacing w:before="-1" w:beforeAutospacing="1" w:after="-1" w:afterAutospacing="1"/>
        <w:rPr>
          <w:b/>
          <w:bCs/>
          <w:color w:val="002060"/>
          <w:sz w:val="36"/>
          <w:szCs w:val="36"/>
        </w:rPr>
      </w:pPr>
      <w:r>
        <w:br w:type="page"/>
      </w:r>
    </w:p>
    <w:p w14:paraId="79306B40" w14:textId="09771154" w:rsidR="00B26722" w:rsidRPr="007C1EE3" w:rsidRDefault="00C20CAF" w:rsidP="00E73E09">
      <w:pPr>
        <w:pStyle w:val="Heading1"/>
      </w:pPr>
      <w:r w:rsidRPr="007C1EE3">
        <w:lastRenderedPageBreak/>
        <w:t>Leadership</w:t>
      </w:r>
    </w:p>
    <w:tbl>
      <w:tblPr>
        <w:tblStyle w:val="TableGrid"/>
        <w:tblW w:w="10065" w:type="dxa"/>
        <w:tblLook w:val="04A0" w:firstRow="1" w:lastRow="0" w:firstColumn="1" w:lastColumn="0" w:noHBand="0" w:noVBand="1"/>
      </w:tblPr>
      <w:tblGrid>
        <w:gridCol w:w="5441"/>
        <w:gridCol w:w="1436"/>
        <w:gridCol w:w="1552"/>
        <w:gridCol w:w="1636"/>
      </w:tblGrid>
      <w:tr w:rsidR="007C1EE3" w:rsidRPr="0033542E" w14:paraId="42993CC1" w14:textId="77777777" w:rsidTr="00D4492E">
        <w:tc>
          <w:tcPr>
            <w:tcW w:w="5441" w:type="dxa"/>
            <w:tcBorders>
              <w:bottom w:val="single" w:sz="4" w:space="0" w:color="auto"/>
            </w:tcBorders>
            <w:shd w:val="clear" w:color="auto" w:fill="auto"/>
          </w:tcPr>
          <w:p w14:paraId="6A7E0158" w14:textId="0785B24D" w:rsidR="007C1EE3" w:rsidRPr="009542B4" w:rsidRDefault="007C1EE3" w:rsidP="00DB1844">
            <w:pPr>
              <w:spacing w:after="120" w:line="276" w:lineRule="auto"/>
              <w:jc w:val="both"/>
              <w:rPr>
                <w:b/>
                <w:bCs/>
                <w:color w:val="0070C0"/>
              </w:rPr>
            </w:pPr>
            <w:r w:rsidRPr="004915A0">
              <w:rPr>
                <w:b/>
                <w:bCs/>
              </w:rPr>
              <w:t>Self-evaluation and research</w:t>
            </w:r>
          </w:p>
        </w:tc>
        <w:tc>
          <w:tcPr>
            <w:tcW w:w="1436" w:type="dxa"/>
            <w:tcBorders>
              <w:bottom w:val="single" w:sz="4" w:space="0" w:color="auto"/>
            </w:tcBorders>
          </w:tcPr>
          <w:p w14:paraId="3FDC83CD" w14:textId="770C508F" w:rsidR="007C1EE3" w:rsidRPr="004915A0" w:rsidRDefault="007C1EE3" w:rsidP="00DB1844">
            <w:pPr>
              <w:spacing w:after="120" w:line="276" w:lineRule="auto"/>
              <w:jc w:val="center"/>
              <w:rPr>
                <w:b/>
                <w:bCs/>
                <w:color w:val="FF0000"/>
              </w:rPr>
            </w:pPr>
            <w:r w:rsidRPr="00D4492E">
              <w:rPr>
                <w:b/>
                <w:bCs/>
                <w:color w:val="C00000"/>
              </w:rPr>
              <w:t>Exploring</w:t>
            </w:r>
          </w:p>
        </w:tc>
        <w:tc>
          <w:tcPr>
            <w:tcW w:w="1552" w:type="dxa"/>
            <w:tcBorders>
              <w:bottom w:val="single" w:sz="4" w:space="0" w:color="auto"/>
            </w:tcBorders>
          </w:tcPr>
          <w:p w14:paraId="1E86FE57" w14:textId="4F64B55D" w:rsidR="007C1EE3" w:rsidRPr="00BE0321" w:rsidRDefault="007C1EE3" w:rsidP="00DB1844">
            <w:pPr>
              <w:spacing w:after="120" w:line="276" w:lineRule="auto"/>
              <w:jc w:val="center"/>
              <w:rPr>
                <w:color w:val="806000" w:themeColor="accent4" w:themeShade="80"/>
              </w:rPr>
            </w:pPr>
            <w:r w:rsidRPr="00BE0321">
              <w:rPr>
                <w:b/>
                <w:bCs/>
                <w:color w:val="806000" w:themeColor="accent4" w:themeShade="80"/>
              </w:rPr>
              <w:t>Adopting</w:t>
            </w:r>
          </w:p>
        </w:tc>
        <w:tc>
          <w:tcPr>
            <w:tcW w:w="1636" w:type="dxa"/>
            <w:tcBorders>
              <w:bottom w:val="single" w:sz="4" w:space="0" w:color="auto"/>
            </w:tcBorders>
          </w:tcPr>
          <w:p w14:paraId="6D8FD989" w14:textId="2AB0738C" w:rsidR="007C1EE3" w:rsidRPr="0033542E" w:rsidRDefault="007C1EE3" w:rsidP="00DB1844">
            <w:pPr>
              <w:spacing w:after="120" w:line="276" w:lineRule="auto"/>
              <w:jc w:val="center"/>
            </w:pPr>
            <w:r w:rsidRPr="00D4492E">
              <w:rPr>
                <w:b/>
                <w:bCs/>
                <w:color w:val="385623" w:themeColor="accent6" w:themeShade="80"/>
              </w:rPr>
              <w:t>Embedding</w:t>
            </w:r>
          </w:p>
        </w:tc>
      </w:tr>
      <w:tr w:rsidR="004915A0" w:rsidRPr="0033542E" w14:paraId="12BE4AAE" w14:textId="77777777" w:rsidTr="00D4492E">
        <w:tc>
          <w:tcPr>
            <w:tcW w:w="5441" w:type="dxa"/>
            <w:tcBorders>
              <w:bottom w:val="single" w:sz="4" w:space="0" w:color="auto"/>
            </w:tcBorders>
            <w:shd w:val="clear" w:color="auto" w:fill="auto"/>
          </w:tcPr>
          <w:p w14:paraId="0FA98ECB" w14:textId="77777777" w:rsidR="00D4492E" w:rsidRDefault="004915A0" w:rsidP="00DB1844">
            <w:pPr>
              <w:spacing w:line="276" w:lineRule="auto"/>
            </w:pPr>
            <w:r w:rsidRPr="004915A0">
              <w:t xml:space="preserve">Equalities are woven into improvement planning and aligned with other setting priorities. </w:t>
            </w:r>
          </w:p>
          <w:p w14:paraId="2F9DC07D" w14:textId="3D2A025D" w:rsidR="00D4492E" w:rsidRDefault="004915A0" w:rsidP="00DB1844">
            <w:pPr>
              <w:spacing w:line="276" w:lineRule="auto"/>
            </w:pPr>
            <w:r w:rsidRPr="004915A0">
              <w:t>Data is used to identify gaps and to ensure the work meets the needs of the setting.</w:t>
            </w:r>
          </w:p>
          <w:p w14:paraId="71F1864E" w14:textId="5294C030" w:rsidR="004915A0" w:rsidRPr="004915A0" w:rsidRDefault="004915A0" w:rsidP="00DB1844">
            <w:pPr>
              <w:spacing w:line="276" w:lineRule="auto"/>
            </w:pPr>
            <w:r w:rsidRPr="004915A0">
              <w:t>Ongoing monitoring and evaluation are strongly encouraged to support planning for change and a sustainable approach.</w:t>
            </w:r>
          </w:p>
        </w:tc>
        <w:tc>
          <w:tcPr>
            <w:tcW w:w="1436" w:type="dxa"/>
            <w:tcBorders>
              <w:bottom w:val="single" w:sz="4" w:space="0" w:color="auto"/>
            </w:tcBorders>
          </w:tcPr>
          <w:p w14:paraId="59BA53AC" w14:textId="77777777" w:rsidR="004915A0" w:rsidRPr="0033542E" w:rsidRDefault="004915A0" w:rsidP="00DB1844">
            <w:pPr>
              <w:spacing w:line="276" w:lineRule="auto"/>
              <w:jc w:val="center"/>
              <w:rPr>
                <w:b/>
                <w:bCs/>
                <w:color w:val="FF0000"/>
              </w:rPr>
            </w:pPr>
          </w:p>
        </w:tc>
        <w:tc>
          <w:tcPr>
            <w:tcW w:w="1552" w:type="dxa"/>
            <w:tcBorders>
              <w:bottom w:val="single" w:sz="4" w:space="0" w:color="auto"/>
            </w:tcBorders>
          </w:tcPr>
          <w:p w14:paraId="5C28D8B5" w14:textId="77777777" w:rsidR="004915A0" w:rsidRPr="0033542E" w:rsidRDefault="004915A0" w:rsidP="00DB1844">
            <w:pPr>
              <w:spacing w:line="276" w:lineRule="auto"/>
              <w:jc w:val="center"/>
              <w:rPr>
                <w:b/>
                <w:bCs/>
                <w:color w:val="EAB200"/>
              </w:rPr>
            </w:pPr>
          </w:p>
        </w:tc>
        <w:tc>
          <w:tcPr>
            <w:tcW w:w="1636" w:type="dxa"/>
            <w:tcBorders>
              <w:bottom w:val="single" w:sz="4" w:space="0" w:color="auto"/>
            </w:tcBorders>
          </w:tcPr>
          <w:p w14:paraId="260E6ED3" w14:textId="77777777" w:rsidR="004915A0" w:rsidRPr="0033542E" w:rsidRDefault="004915A0" w:rsidP="00DB1844">
            <w:pPr>
              <w:spacing w:line="276" w:lineRule="auto"/>
              <w:jc w:val="center"/>
              <w:rPr>
                <w:b/>
                <w:bCs/>
                <w:color w:val="00B050"/>
              </w:rPr>
            </w:pPr>
          </w:p>
        </w:tc>
      </w:tr>
      <w:tr w:rsidR="00C20CAF" w:rsidRPr="0033542E" w14:paraId="7D048914" w14:textId="77777777" w:rsidTr="00D4492E">
        <w:tc>
          <w:tcPr>
            <w:tcW w:w="5441" w:type="dxa"/>
          </w:tcPr>
          <w:p w14:paraId="0F8704E2" w14:textId="001C56FD" w:rsidR="00C20CAF" w:rsidRPr="0033542E" w:rsidRDefault="00C20CAF" w:rsidP="00DB1844">
            <w:pPr>
              <w:tabs>
                <w:tab w:val="left" w:pos="4332"/>
              </w:tabs>
              <w:spacing w:line="276" w:lineRule="auto"/>
            </w:pPr>
            <w:r w:rsidRPr="0033542E">
              <w:t xml:space="preserve">A core team of practitioners </w:t>
            </w:r>
            <w:r w:rsidR="007C1EE3" w:rsidRPr="0033542E">
              <w:t>provides</w:t>
            </w:r>
            <w:r w:rsidRPr="0033542E">
              <w:t xml:space="preserve"> effective coordination and leadership for equalities work. Equalities in the setting is aligned with other strategic priorities.</w:t>
            </w:r>
            <w:r w:rsidRPr="0033542E">
              <w:tab/>
            </w:r>
          </w:p>
        </w:tc>
        <w:tc>
          <w:tcPr>
            <w:tcW w:w="1436" w:type="dxa"/>
          </w:tcPr>
          <w:p w14:paraId="3F3F13CD" w14:textId="77777777" w:rsidR="00C20CAF" w:rsidRPr="0033542E" w:rsidRDefault="00C20CAF" w:rsidP="00DB1844">
            <w:pPr>
              <w:spacing w:line="276" w:lineRule="auto"/>
            </w:pPr>
          </w:p>
        </w:tc>
        <w:tc>
          <w:tcPr>
            <w:tcW w:w="1552" w:type="dxa"/>
          </w:tcPr>
          <w:p w14:paraId="71E770EB" w14:textId="77777777" w:rsidR="00C20CAF" w:rsidRPr="0033542E" w:rsidRDefault="00C20CAF" w:rsidP="00DB1844">
            <w:pPr>
              <w:spacing w:line="276" w:lineRule="auto"/>
            </w:pPr>
          </w:p>
        </w:tc>
        <w:tc>
          <w:tcPr>
            <w:tcW w:w="1636" w:type="dxa"/>
          </w:tcPr>
          <w:p w14:paraId="56E3D238" w14:textId="77777777" w:rsidR="00C20CAF" w:rsidRPr="0033542E" w:rsidRDefault="00C20CAF" w:rsidP="00DB1844">
            <w:pPr>
              <w:spacing w:line="276" w:lineRule="auto"/>
            </w:pPr>
          </w:p>
        </w:tc>
      </w:tr>
      <w:tr w:rsidR="00C20CAF" w:rsidRPr="0033542E" w14:paraId="1693154D" w14:textId="77777777" w:rsidTr="00D4492E">
        <w:tc>
          <w:tcPr>
            <w:tcW w:w="5441" w:type="dxa"/>
          </w:tcPr>
          <w:p w14:paraId="188D14E5" w14:textId="77675780" w:rsidR="00D4492E" w:rsidRDefault="00C20CAF" w:rsidP="00DB1844">
            <w:pPr>
              <w:spacing w:line="276" w:lineRule="auto"/>
            </w:pPr>
            <w:r w:rsidRPr="0033542E">
              <w:t>Attainment and progression data are examined through an equalities lens and gaps/disparities are identified and addressed.</w:t>
            </w:r>
          </w:p>
          <w:p w14:paraId="320BC332" w14:textId="7441BA18" w:rsidR="00C20CAF" w:rsidRPr="0033542E" w:rsidRDefault="00C20CAF" w:rsidP="00DB1844">
            <w:pPr>
              <w:spacing w:line="276" w:lineRule="auto"/>
            </w:pPr>
            <w:r w:rsidRPr="0033542E">
              <w:t>The interconnected nature of protected characteristics is explored, and care is taken to adopt a nuanced and intersectional approach to analysing data and planning interventions.</w:t>
            </w:r>
          </w:p>
        </w:tc>
        <w:tc>
          <w:tcPr>
            <w:tcW w:w="1436" w:type="dxa"/>
          </w:tcPr>
          <w:p w14:paraId="6BFF1EB1" w14:textId="77777777" w:rsidR="00C20CAF" w:rsidRPr="0033542E" w:rsidRDefault="00C20CAF" w:rsidP="00DB1844">
            <w:pPr>
              <w:spacing w:line="276" w:lineRule="auto"/>
            </w:pPr>
          </w:p>
        </w:tc>
        <w:tc>
          <w:tcPr>
            <w:tcW w:w="1552" w:type="dxa"/>
          </w:tcPr>
          <w:p w14:paraId="35495247" w14:textId="77777777" w:rsidR="00C20CAF" w:rsidRPr="0033542E" w:rsidRDefault="00C20CAF" w:rsidP="00DB1844">
            <w:pPr>
              <w:spacing w:line="276" w:lineRule="auto"/>
            </w:pPr>
          </w:p>
        </w:tc>
        <w:tc>
          <w:tcPr>
            <w:tcW w:w="1636" w:type="dxa"/>
          </w:tcPr>
          <w:p w14:paraId="58E64FDF" w14:textId="77777777" w:rsidR="00C20CAF" w:rsidRPr="0033542E" w:rsidRDefault="00C20CAF" w:rsidP="00DB1844">
            <w:pPr>
              <w:spacing w:line="276" w:lineRule="auto"/>
            </w:pPr>
          </w:p>
        </w:tc>
      </w:tr>
      <w:tr w:rsidR="00C20CAF" w:rsidRPr="0033542E" w14:paraId="208B3F12" w14:textId="77777777" w:rsidTr="00D4492E">
        <w:tc>
          <w:tcPr>
            <w:tcW w:w="5441" w:type="dxa"/>
          </w:tcPr>
          <w:p w14:paraId="07F3A812" w14:textId="64191B79" w:rsidR="00C20CAF" w:rsidRPr="0033542E" w:rsidRDefault="00C20CAF" w:rsidP="00DB1844">
            <w:pPr>
              <w:spacing w:line="276" w:lineRule="auto"/>
            </w:pPr>
            <w:r w:rsidRPr="0033542E">
              <w:t>Data relating to the wider culture of the setting are also monitored and disaggregated by equalities identities. This might include data relating to behaviour, attendance, and participation in wider and informal curriculum opportunities (e.g., speaking with external speaker</w:t>
            </w:r>
            <w:r>
              <w:t>s</w:t>
            </w:r>
            <w:r w:rsidRPr="0033542E">
              <w:t>, representing the setting, engaging in extra-curricular</w:t>
            </w:r>
            <w:r w:rsidR="00D4492E">
              <w:t xml:space="preserve"> </w:t>
            </w:r>
            <w:r w:rsidRPr="0033542E">
              <w:t xml:space="preserve">sporting activities </w:t>
            </w:r>
            <w:proofErr w:type="gramStart"/>
            <w:r w:rsidRPr="0033542E">
              <w:t>etc.</w:t>
            </w:r>
            <w:proofErr w:type="gramEnd"/>
            <w:r w:rsidRPr="0033542E">
              <w:t>).</w:t>
            </w:r>
          </w:p>
        </w:tc>
        <w:tc>
          <w:tcPr>
            <w:tcW w:w="1436" w:type="dxa"/>
          </w:tcPr>
          <w:p w14:paraId="3533FDB1" w14:textId="77777777" w:rsidR="00C20CAF" w:rsidRPr="0033542E" w:rsidRDefault="00C20CAF" w:rsidP="00DB1844">
            <w:pPr>
              <w:spacing w:line="276" w:lineRule="auto"/>
            </w:pPr>
          </w:p>
        </w:tc>
        <w:tc>
          <w:tcPr>
            <w:tcW w:w="1552" w:type="dxa"/>
          </w:tcPr>
          <w:p w14:paraId="2698380F" w14:textId="77777777" w:rsidR="00C20CAF" w:rsidRPr="0033542E" w:rsidRDefault="00C20CAF" w:rsidP="00DB1844">
            <w:pPr>
              <w:spacing w:line="276" w:lineRule="auto"/>
            </w:pPr>
          </w:p>
        </w:tc>
        <w:tc>
          <w:tcPr>
            <w:tcW w:w="1636" w:type="dxa"/>
          </w:tcPr>
          <w:p w14:paraId="38AB593D" w14:textId="77777777" w:rsidR="00C20CAF" w:rsidRPr="0033542E" w:rsidRDefault="00C20CAF" w:rsidP="00DB1844">
            <w:pPr>
              <w:spacing w:line="276" w:lineRule="auto"/>
            </w:pPr>
          </w:p>
        </w:tc>
      </w:tr>
      <w:tr w:rsidR="00C20CAF" w:rsidRPr="0033542E" w14:paraId="484E7A29" w14:textId="77777777" w:rsidTr="00D4492E">
        <w:tc>
          <w:tcPr>
            <w:tcW w:w="5441" w:type="dxa"/>
          </w:tcPr>
          <w:p w14:paraId="18FF5B13" w14:textId="77777777" w:rsidR="00C20CAF" w:rsidRPr="0033542E" w:rsidRDefault="00C20CAF" w:rsidP="00DB1844">
            <w:pPr>
              <w:spacing w:line="276" w:lineRule="auto"/>
              <w:jc w:val="both"/>
            </w:pPr>
            <w:r w:rsidRPr="0033542E">
              <w:t>Effective strategies are in place to monitor and evaluate impact of plans and actions on attitudes and outcomes for all learners.</w:t>
            </w:r>
          </w:p>
        </w:tc>
        <w:tc>
          <w:tcPr>
            <w:tcW w:w="1436" w:type="dxa"/>
          </w:tcPr>
          <w:p w14:paraId="4D7284AA" w14:textId="77777777" w:rsidR="00C20CAF" w:rsidRPr="0033542E" w:rsidRDefault="00C20CAF" w:rsidP="00DB1844">
            <w:pPr>
              <w:spacing w:line="276" w:lineRule="auto"/>
            </w:pPr>
          </w:p>
        </w:tc>
        <w:tc>
          <w:tcPr>
            <w:tcW w:w="1552" w:type="dxa"/>
          </w:tcPr>
          <w:p w14:paraId="3D58498C" w14:textId="77777777" w:rsidR="00C20CAF" w:rsidRPr="0033542E" w:rsidRDefault="00C20CAF" w:rsidP="00DB1844">
            <w:pPr>
              <w:spacing w:line="276" w:lineRule="auto"/>
            </w:pPr>
          </w:p>
        </w:tc>
        <w:tc>
          <w:tcPr>
            <w:tcW w:w="1636" w:type="dxa"/>
          </w:tcPr>
          <w:p w14:paraId="7F0A46E3" w14:textId="77777777" w:rsidR="00C20CAF" w:rsidRPr="0033542E" w:rsidRDefault="00C20CAF" w:rsidP="00DB1844">
            <w:pPr>
              <w:spacing w:line="276" w:lineRule="auto"/>
            </w:pPr>
          </w:p>
        </w:tc>
      </w:tr>
      <w:tr w:rsidR="00C20CAF" w:rsidRPr="0033542E" w14:paraId="1A45E731" w14:textId="77777777" w:rsidTr="00D4492E">
        <w:tc>
          <w:tcPr>
            <w:tcW w:w="5441" w:type="dxa"/>
          </w:tcPr>
          <w:p w14:paraId="05B14EF0" w14:textId="77777777" w:rsidR="00C20CAF" w:rsidRPr="0033542E" w:rsidRDefault="00C20CAF" w:rsidP="00DB1844">
            <w:pPr>
              <w:spacing w:line="276" w:lineRule="auto"/>
            </w:pPr>
            <w:r w:rsidRPr="0033542E">
              <w:t>A range of effective approaches are being used to ensure all practitioners, learners, and partners are actively involved in</w:t>
            </w:r>
            <w:r>
              <w:t xml:space="preserve"> </w:t>
            </w:r>
            <w:r w:rsidRPr="0033542E">
              <w:t>IGBE self-evaluation activities. Learners are at the centre of this process and have a strong voice in all developments</w:t>
            </w:r>
            <w:r>
              <w:t>.</w:t>
            </w:r>
          </w:p>
        </w:tc>
        <w:tc>
          <w:tcPr>
            <w:tcW w:w="1436" w:type="dxa"/>
          </w:tcPr>
          <w:p w14:paraId="4851CF1B" w14:textId="77777777" w:rsidR="00C20CAF" w:rsidRPr="0033542E" w:rsidRDefault="00C20CAF" w:rsidP="00DB1844">
            <w:pPr>
              <w:spacing w:line="276" w:lineRule="auto"/>
            </w:pPr>
          </w:p>
        </w:tc>
        <w:tc>
          <w:tcPr>
            <w:tcW w:w="1552" w:type="dxa"/>
          </w:tcPr>
          <w:p w14:paraId="05832A7C" w14:textId="77777777" w:rsidR="00C20CAF" w:rsidRPr="0033542E" w:rsidRDefault="00C20CAF" w:rsidP="00DB1844">
            <w:pPr>
              <w:spacing w:line="276" w:lineRule="auto"/>
            </w:pPr>
          </w:p>
        </w:tc>
        <w:tc>
          <w:tcPr>
            <w:tcW w:w="1636" w:type="dxa"/>
          </w:tcPr>
          <w:p w14:paraId="14018B33" w14:textId="77777777" w:rsidR="00C20CAF" w:rsidRPr="0033542E" w:rsidRDefault="00C20CAF" w:rsidP="00DB1844">
            <w:pPr>
              <w:spacing w:line="276" w:lineRule="auto"/>
            </w:pPr>
          </w:p>
        </w:tc>
      </w:tr>
    </w:tbl>
    <w:p w14:paraId="77D70829" w14:textId="22C39FF1" w:rsidR="00B26722" w:rsidRDefault="00FB553D" w:rsidP="00E73E09">
      <w:pPr>
        <w:pStyle w:val="Heading1"/>
      </w:pPr>
      <w:r w:rsidRPr="00FB553D">
        <w:lastRenderedPageBreak/>
        <w:t>Learning and Teaching</w:t>
      </w:r>
    </w:p>
    <w:tbl>
      <w:tblPr>
        <w:tblStyle w:val="TableGrid"/>
        <w:tblW w:w="10065" w:type="dxa"/>
        <w:tblInd w:w="-5" w:type="dxa"/>
        <w:tblLook w:val="04A0" w:firstRow="1" w:lastRow="0" w:firstColumn="1" w:lastColumn="0" w:noHBand="0" w:noVBand="1"/>
      </w:tblPr>
      <w:tblGrid>
        <w:gridCol w:w="5908"/>
        <w:gridCol w:w="1323"/>
        <w:gridCol w:w="1311"/>
        <w:gridCol w:w="1523"/>
      </w:tblGrid>
      <w:tr w:rsidR="00B34204" w:rsidRPr="00B34204" w14:paraId="213CB83D" w14:textId="77777777" w:rsidTr="00924F0B">
        <w:tc>
          <w:tcPr>
            <w:tcW w:w="5908" w:type="dxa"/>
            <w:shd w:val="clear" w:color="auto" w:fill="auto"/>
          </w:tcPr>
          <w:p w14:paraId="53242BA4" w14:textId="77777777" w:rsidR="00B34204" w:rsidRPr="00B34204" w:rsidRDefault="00B34204" w:rsidP="009A164C">
            <w:pPr>
              <w:spacing w:line="276" w:lineRule="auto"/>
              <w:ind w:left="0"/>
              <w:rPr>
                <w:b/>
                <w:bCs/>
              </w:rPr>
            </w:pPr>
            <w:r w:rsidRPr="00B34204">
              <w:rPr>
                <w:b/>
                <w:bCs/>
              </w:rPr>
              <w:t>Professional Learning</w:t>
            </w:r>
          </w:p>
        </w:tc>
        <w:tc>
          <w:tcPr>
            <w:tcW w:w="1323" w:type="dxa"/>
          </w:tcPr>
          <w:p w14:paraId="2803715C" w14:textId="7A40739D" w:rsidR="00B34204" w:rsidRPr="00B34204" w:rsidRDefault="00B34204" w:rsidP="009A164C">
            <w:pPr>
              <w:spacing w:line="276" w:lineRule="auto"/>
              <w:ind w:left="0"/>
              <w:rPr>
                <w:b/>
                <w:bCs/>
              </w:rPr>
            </w:pPr>
            <w:r w:rsidRPr="00D4492E">
              <w:rPr>
                <w:b/>
                <w:bCs/>
                <w:color w:val="C00000"/>
              </w:rPr>
              <w:t>Exploring</w:t>
            </w:r>
          </w:p>
        </w:tc>
        <w:tc>
          <w:tcPr>
            <w:tcW w:w="1311" w:type="dxa"/>
          </w:tcPr>
          <w:p w14:paraId="2AFD18B0" w14:textId="3E349688" w:rsidR="00B34204" w:rsidRPr="00B34204" w:rsidRDefault="00B34204" w:rsidP="009A164C">
            <w:pPr>
              <w:spacing w:line="276" w:lineRule="auto"/>
              <w:ind w:left="0"/>
            </w:pPr>
            <w:r w:rsidRPr="00BE0321">
              <w:rPr>
                <w:b/>
                <w:bCs/>
                <w:color w:val="806000" w:themeColor="accent4" w:themeShade="80"/>
              </w:rPr>
              <w:t>Adopting</w:t>
            </w:r>
          </w:p>
        </w:tc>
        <w:tc>
          <w:tcPr>
            <w:tcW w:w="1523" w:type="dxa"/>
          </w:tcPr>
          <w:p w14:paraId="4B87510A" w14:textId="772F2BDC" w:rsidR="00B34204" w:rsidRPr="00B34204" w:rsidRDefault="00B34204" w:rsidP="009A164C">
            <w:pPr>
              <w:spacing w:line="276" w:lineRule="auto"/>
              <w:ind w:left="0"/>
            </w:pPr>
            <w:r w:rsidRPr="00D4492E">
              <w:rPr>
                <w:b/>
                <w:bCs/>
                <w:color w:val="385623" w:themeColor="accent6" w:themeShade="80"/>
              </w:rPr>
              <w:t>Embedding</w:t>
            </w:r>
          </w:p>
        </w:tc>
      </w:tr>
      <w:tr w:rsidR="00B34204" w:rsidRPr="00B34204" w14:paraId="7B7B1CB6" w14:textId="77777777" w:rsidTr="00924F0B">
        <w:tc>
          <w:tcPr>
            <w:tcW w:w="5908" w:type="dxa"/>
          </w:tcPr>
          <w:p w14:paraId="3174BA34" w14:textId="77777777" w:rsidR="00B34204" w:rsidRPr="00B34204" w:rsidRDefault="00B34204" w:rsidP="009A164C">
            <w:pPr>
              <w:spacing w:line="276" w:lineRule="auto"/>
              <w:ind w:left="0"/>
            </w:pPr>
            <w:r w:rsidRPr="00B34204">
              <w:t>There is a focus on collegiate learning, professional development, and building practitioner confidence in improving equalities. This may include increased access to professional learning, resources, and opportunities for professional dialogue.</w:t>
            </w:r>
          </w:p>
        </w:tc>
        <w:tc>
          <w:tcPr>
            <w:tcW w:w="1323" w:type="dxa"/>
          </w:tcPr>
          <w:p w14:paraId="46831D70" w14:textId="77777777" w:rsidR="00B34204" w:rsidRPr="00B34204" w:rsidRDefault="00B34204" w:rsidP="009A164C">
            <w:pPr>
              <w:spacing w:line="276" w:lineRule="auto"/>
              <w:ind w:left="0"/>
            </w:pPr>
          </w:p>
        </w:tc>
        <w:tc>
          <w:tcPr>
            <w:tcW w:w="1311" w:type="dxa"/>
          </w:tcPr>
          <w:p w14:paraId="2F0D2E60" w14:textId="77777777" w:rsidR="00B34204" w:rsidRPr="00B34204" w:rsidRDefault="00B34204" w:rsidP="009A164C">
            <w:pPr>
              <w:spacing w:line="276" w:lineRule="auto"/>
              <w:ind w:left="0"/>
            </w:pPr>
          </w:p>
        </w:tc>
        <w:tc>
          <w:tcPr>
            <w:tcW w:w="1523" w:type="dxa"/>
          </w:tcPr>
          <w:p w14:paraId="27B8E6CD" w14:textId="77777777" w:rsidR="00B34204" w:rsidRPr="00B34204" w:rsidRDefault="00B34204" w:rsidP="009A164C">
            <w:pPr>
              <w:spacing w:line="276" w:lineRule="auto"/>
              <w:ind w:left="0"/>
            </w:pPr>
          </w:p>
        </w:tc>
      </w:tr>
      <w:tr w:rsidR="00B34204" w:rsidRPr="00B34204" w14:paraId="4807D762" w14:textId="77777777" w:rsidTr="00924F0B">
        <w:tc>
          <w:tcPr>
            <w:tcW w:w="5908" w:type="dxa"/>
          </w:tcPr>
          <w:p w14:paraId="485BC6A8" w14:textId="03E10489" w:rsidR="00924F0B" w:rsidRDefault="00B34204" w:rsidP="009A164C">
            <w:pPr>
              <w:spacing w:line="276" w:lineRule="auto"/>
              <w:ind w:left="0"/>
            </w:pPr>
            <w:r w:rsidRPr="00B34204">
              <w:t>There is a culture of professional learning, professional development, and collaborative professional enquiry in equalities.</w:t>
            </w:r>
          </w:p>
          <w:p w14:paraId="3D0974F1" w14:textId="13C359E1" w:rsidR="00B34204" w:rsidRPr="00B34204" w:rsidRDefault="00B34204" w:rsidP="009A164C">
            <w:pPr>
              <w:spacing w:line="276" w:lineRule="auto"/>
              <w:ind w:left="0"/>
            </w:pPr>
            <w:r w:rsidRPr="00B34204">
              <w:t>All practitioners, including teaching and support staff, have opportunities to engage with new learning around equalities, and plans are established to incorporate into induction for new staff.</w:t>
            </w:r>
          </w:p>
        </w:tc>
        <w:tc>
          <w:tcPr>
            <w:tcW w:w="1323" w:type="dxa"/>
          </w:tcPr>
          <w:p w14:paraId="347A132C" w14:textId="77777777" w:rsidR="00B34204" w:rsidRPr="00B34204" w:rsidRDefault="00B34204" w:rsidP="009A164C">
            <w:pPr>
              <w:spacing w:line="276" w:lineRule="auto"/>
              <w:ind w:left="0"/>
            </w:pPr>
          </w:p>
        </w:tc>
        <w:tc>
          <w:tcPr>
            <w:tcW w:w="1311" w:type="dxa"/>
          </w:tcPr>
          <w:p w14:paraId="4A3E5214" w14:textId="77777777" w:rsidR="00B34204" w:rsidRPr="00B34204" w:rsidRDefault="00B34204" w:rsidP="009A164C">
            <w:pPr>
              <w:spacing w:line="276" w:lineRule="auto"/>
              <w:ind w:left="0"/>
            </w:pPr>
          </w:p>
        </w:tc>
        <w:tc>
          <w:tcPr>
            <w:tcW w:w="1523" w:type="dxa"/>
          </w:tcPr>
          <w:p w14:paraId="53DFB3F6" w14:textId="77777777" w:rsidR="00B34204" w:rsidRPr="00B34204" w:rsidRDefault="00B34204" w:rsidP="009A164C">
            <w:pPr>
              <w:spacing w:line="276" w:lineRule="auto"/>
              <w:ind w:left="0"/>
            </w:pPr>
          </w:p>
        </w:tc>
      </w:tr>
      <w:tr w:rsidR="00B34204" w:rsidRPr="00B34204" w14:paraId="1B312F86" w14:textId="77777777" w:rsidTr="00924F0B">
        <w:tc>
          <w:tcPr>
            <w:tcW w:w="5908" w:type="dxa"/>
          </w:tcPr>
          <w:p w14:paraId="0B1AE61E" w14:textId="21FAB656" w:rsidR="00924F0B" w:rsidRDefault="00B34204" w:rsidP="009A164C">
            <w:pPr>
              <w:spacing w:line="276" w:lineRule="auto"/>
              <w:ind w:left="0"/>
            </w:pPr>
            <w:r w:rsidRPr="00B34204">
              <w:t>Children and young people are taking responsibility for leading their own and others’ learning around stereotypes, bias, and inequality.</w:t>
            </w:r>
          </w:p>
          <w:p w14:paraId="6FDE9D78" w14:textId="6A77A5A7" w:rsidR="00B34204" w:rsidRPr="00B34204" w:rsidRDefault="00B34204" w:rsidP="009A164C">
            <w:pPr>
              <w:spacing w:line="276" w:lineRule="auto"/>
              <w:ind w:left="0"/>
            </w:pPr>
            <w:r w:rsidRPr="00B34204">
              <w:t>There are opportunities available for all children and young people to engage with these issues, be involved in consultation and to help shape the setting’s approach.</w:t>
            </w:r>
          </w:p>
        </w:tc>
        <w:tc>
          <w:tcPr>
            <w:tcW w:w="1323" w:type="dxa"/>
          </w:tcPr>
          <w:p w14:paraId="60C59ED7" w14:textId="77777777" w:rsidR="00B34204" w:rsidRPr="00B34204" w:rsidRDefault="00B34204" w:rsidP="009A164C">
            <w:pPr>
              <w:spacing w:line="276" w:lineRule="auto"/>
              <w:ind w:left="0"/>
            </w:pPr>
          </w:p>
        </w:tc>
        <w:tc>
          <w:tcPr>
            <w:tcW w:w="1311" w:type="dxa"/>
          </w:tcPr>
          <w:p w14:paraId="186B76D3" w14:textId="77777777" w:rsidR="00B34204" w:rsidRPr="00B34204" w:rsidRDefault="00B34204" w:rsidP="009A164C">
            <w:pPr>
              <w:spacing w:line="276" w:lineRule="auto"/>
              <w:ind w:left="0"/>
            </w:pPr>
          </w:p>
        </w:tc>
        <w:tc>
          <w:tcPr>
            <w:tcW w:w="1523" w:type="dxa"/>
          </w:tcPr>
          <w:p w14:paraId="6DBA3286" w14:textId="77777777" w:rsidR="00B34204" w:rsidRPr="00B34204" w:rsidRDefault="00B34204" w:rsidP="009A164C">
            <w:pPr>
              <w:spacing w:line="276" w:lineRule="auto"/>
              <w:ind w:left="0"/>
            </w:pPr>
          </w:p>
        </w:tc>
      </w:tr>
      <w:tr w:rsidR="00B34204" w:rsidRPr="00B34204" w14:paraId="1B527278" w14:textId="77777777" w:rsidTr="00924F0B">
        <w:tc>
          <w:tcPr>
            <w:tcW w:w="5908" w:type="dxa"/>
          </w:tcPr>
          <w:p w14:paraId="48F8F06F" w14:textId="77777777" w:rsidR="00B34204" w:rsidRPr="00B34204" w:rsidRDefault="00B34204" w:rsidP="009A164C">
            <w:pPr>
              <w:spacing w:line="276" w:lineRule="auto"/>
              <w:ind w:left="0"/>
            </w:pPr>
            <w:r w:rsidRPr="00B34204">
              <w:t>Engagement with research, resources, and policy to lead and develop learning. Practitioners understand how addressing stereotypes and unconscious bias can help to raise attainment and develop employability skills.</w:t>
            </w:r>
          </w:p>
        </w:tc>
        <w:tc>
          <w:tcPr>
            <w:tcW w:w="1323" w:type="dxa"/>
          </w:tcPr>
          <w:p w14:paraId="7BFAA03A" w14:textId="77777777" w:rsidR="00B34204" w:rsidRPr="00B34204" w:rsidRDefault="00B34204" w:rsidP="009A164C">
            <w:pPr>
              <w:spacing w:line="276" w:lineRule="auto"/>
              <w:ind w:left="0"/>
            </w:pPr>
          </w:p>
        </w:tc>
        <w:tc>
          <w:tcPr>
            <w:tcW w:w="1311" w:type="dxa"/>
          </w:tcPr>
          <w:p w14:paraId="58E1BCF7" w14:textId="77777777" w:rsidR="00B34204" w:rsidRPr="00B34204" w:rsidRDefault="00B34204" w:rsidP="009A164C">
            <w:pPr>
              <w:spacing w:line="276" w:lineRule="auto"/>
              <w:ind w:left="0"/>
            </w:pPr>
          </w:p>
        </w:tc>
        <w:tc>
          <w:tcPr>
            <w:tcW w:w="1523" w:type="dxa"/>
          </w:tcPr>
          <w:p w14:paraId="671B3F26" w14:textId="77777777" w:rsidR="00B34204" w:rsidRPr="00B34204" w:rsidRDefault="00B34204" w:rsidP="009A164C">
            <w:pPr>
              <w:spacing w:line="276" w:lineRule="auto"/>
              <w:ind w:left="0"/>
            </w:pPr>
          </w:p>
        </w:tc>
      </w:tr>
      <w:tr w:rsidR="00B34204" w:rsidRPr="00B34204" w14:paraId="4DA12E3C" w14:textId="77777777" w:rsidTr="00924F0B">
        <w:tc>
          <w:tcPr>
            <w:tcW w:w="5908" w:type="dxa"/>
          </w:tcPr>
          <w:p w14:paraId="52810AE6" w14:textId="3B8C024E" w:rsidR="00924F0B" w:rsidRDefault="00B34204" w:rsidP="009A164C">
            <w:pPr>
              <w:spacing w:line="276" w:lineRule="auto"/>
              <w:ind w:left="0"/>
            </w:pPr>
            <w:r w:rsidRPr="00B34204">
              <w:t>Professional engagement and collegiate working across the wider learning community, including between sectors, is evident.</w:t>
            </w:r>
          </w:p>
          <w:p w14:paraId="44FE1B05" w14:textId="2A31C5E1" w:rsidR="00B34204" w:rsidRPr="00B34204" w:rsidRDefault="00B34204" w:rsidP="009A164C">
            <w:pPr>
              <w:spacing w:line="276" w:lineRule="auto"/>
              <w:ind w:left="0"/>
            </w:pPr>
            <w:r w:rsidRPr="00B34204">
              <w:t>Practitioners share resources, expertise, and strategies to build their mutual capacity.</w:t>
            </w:r>
          </w:p>
        </w:tc>
        <w:tc>
          <w:tcPr>
            <w:tcW w:w="1323" w:type="dxa"/>
          </w:tcPr>
          <w:p w14:paraId="5B6D472A" w14:textId="77777777" w:rsidR="00B34204" w:rsidRPr="00B34204" w:rsidRDefault="00B34204" w:rsidP="009A164C">
            <w:pPr>
              <w:spacing w:line="276" w:lineRule="auto"/>
              <w:ind w:left="0"/>
            </w:pPr>
          </w:p>
        </w:tc>
        <w:tc>
          <w:tcPr>
            <w:tcW w:w="1311" w:type="dxa"/>
          </w:tcPr>
          <w:p w14:paraId="0A4FEE3A" w14:textId="77777777" w:rsidR="00B34204" w:rsidRPr="00B34204" w:rsidRDefault="00B34204" w:rsidP="009A164C">
            <w:pPr>
              <w:spacing w:line="276" w:lineRule="auto"/>
              <w:ind w:left="0"/>
            </w:pPr>
          </w:p>
        </w:tc>
        <w:tc>
          <w:tcPr>
            <w:tcW w:w="1523" w:type="dxa"/>
          </w:tcPr>
          <w:p w14:paraId="3772E3FD" w14:textId="77777777" w:rsidR="00B34204" w:rsidRPr="00B34204" w:rsidRDefault="00B34204" w:rsidP="009A164C">
            <w:pPr>
              <w:spacing w:line="276" w:lineRule="auto"/>
              <w:ind w:left="0"/>
            </w:pPr>
          </w:p>
        </w:tc>
      </w:tr>
    </w:tbl>
    <w:p w14:paraId="337F886B" w14:textId="77777777" w:rsidR="00924F0B" w:rsidRDefault="00924F0B">
      <w:r>
        <w:br w:type="page"/>
      </w:r>
    </w:p>
    <w:tbl>
      <w:tblPr>
        <w:tblStyle w:val="TableGrid"/>
        <w:tblW w:w="10065" w:type="dxa"/>
        <w:tblInd w:w="-5" w:type="dxa"/>
        <w:tblLook w:val="04A0" w:firstRow="1" w:lastRow="0" w:firstColumn="1" w:lastColumn="0" w:noHBand="0" w:noVBand="1"/>
      </w:tblPr>
      <w:tblGrid>
        <w:gridCol w:w="5581"/>
        <w:gridCol w:w="1597"/>
        <w:gridCol w:w="1364"/>
        <w:gridCol w:w="1523"/>
      </w:tblGrid>
      <w:tr w:rsidR="00CB5F21" w:rsidRPr="00B34204" w14:paraId="5170FD0E" w14:textId="77777777" w:rsidTr="00FD3206">
        <w:tc>
          <w:tcPr>
            <w:tcW w:w="5581" w:type="dxa"/>
          </w:tcPr>
          <w:p w14:paraId="4A01398E" w14:textId="054141A2" w:rsidR="00CB5F21" w:rsidRPr="00B34204" w:rsidRDefault="00CB5F21" w:rsidP="001657B3">
            <w:pPr>
              <w:spacing w:after="120" w:line="276" w:lineRule="auto"/>
              <w:ind w:left="0"/>
            </w:pPr>
            <w:r w:rsidRPr="00EF7014">
              <w:rPr>
                <w:b/>
                <w:bCs/>
              </w:rPr>
              <w:lastRenderedPageBreak/>
              <w:t>Examining and sharing practic</w:t>
            </w:r>
            <w:r>
              <w:rPr>
                <w:b/>
                <w:bCs/>
              </w:rPr>
              <w:t>e</w:t>
            </w:r>
          </w:p>
        </w:tc>
        <w:tc>
          <w:tcPr>
            <w:tcW w:w="1597" w:type="dxa"/>
          </w:tcPr>
          <w:p w14:paraId="2C09D9E0" w14:textId="58A4A64C" w:rsidR="00CB5F21" w:rsidRPr="00B34204" w:rsidRDefault="00CB5F21" w:rsidP="001657B3">
            <w:pPr>
              <w:spacing w:after="120" w:line="276" w:lineRule="auto"/>
              <w:ind w:left="0"/>
            </w:pPr>
            <w:r w:rsidRPr="00D4492E">
              <w:rPr>
                <w:b/>
                <w:bCs/>
                <w:color w:val="C00000"/>
              </w:rPr>
              <w:t>Exploring</w:t>
            </w:r>
          </w:p>
        </w:tc>
        <w:tc>
          <w:tcPr>
            <w:tcW w:w="1364" w:type="dxa"/>
          </w:tcPr>
          <w:p w14:paraId="10F81F53" w14:textId="3F8C8681" w:rsidR="00CB5F21" w:rsidRPr="00B34204" w:rsidRDefault="00CB5F21" w:rsidP="001657B3">
            <w:pPr>
              <w:spacing w:after="120" w:line="276" w:lineRule="auto"/>
              <w:ind w:left="0"/>
            </w:pPr>
            <w:r w:rsidRPr="00BE0321">
              <w:rPr>
                <w:b/>
                <w:bCs/>
                <w:color w:val="806000" w:themeColor="accent4" w:themeShade="80"/>
              </w:rPr>
              <w:t>Adopting</w:t>
            </w:r>
          </w:p>
        </w:tc>
        <w:tc>
          <w:tcPr>
            <w:tcW w:w="1523" w:type="dxa"/>
          </w:tcPr>
          <w:p w14:paraId="19D6686E" w14:textId="0D10D4FD" w:rsidR="00CB5F21" w:rsidRPr="00B34204" w:rsidRDefault="00CB5F21" w:rsidP="001657B3">
            <w:pPr>
              <w:spacing w:after="120" w:line="276" w:lineRule="auto"/>
              <w:ind w:left="0"/>
            </w:pPr>
            <w:r w:rsidRPr="00D4492E">
              <w:rPr>
                <w:b/>
                <w:bCs/>
                <w:color w:val="385623" w:themeColor="accent6" w:themeShade="80"/>
              </w:rPr>
              <w:t>Embedding</w:t>
            </w:r>
          </w:p>
        </w:tc>
      </w:tr>
      <w:tr w:rsidR="001657B3" w:rsidRPr="00EF7014" w14:paraId="0141B427" w14:textId="77777777" w:rsidTr="00FD3206">
        <w:tc>
          <w:tcPr>
            <w:tcW w:w="5581" w:type="dxa"/>
            <w:tcBorders>
              <w:left w:val="single" w:sz="4" w:space="0" w:color="auto"/>
              <w:right w:val="single" w:sz="4" w:space="0" w:color="auto"/>
            </w:tcBorders>
          </w:tcPr>
          <w:p w14:paraId="45239E8E" w14:textId="0286755F" w:rsidR="00CB5F21" w:rsidRDefault="00CB5F21" w:rsidP="001657B3">
            <w:pPr>
              <w:spacing w:after="120" w:line="276" w:lineRule="auto"/>
              <w:ind w:left="0"/>
            </w:pPr>
            <w:r w:rsidRPr="00EF7014">
              <w:t>The setting works to ensure that practitioners are equipped to understand impacts of unconscious bias and expectations in everyday practice.</w:t>
            </w:r>
          </w:p>
          <w:p w14:paraId="1312C1C4" w14:textId="07D302EB" w:rsidR="00CB5F21" w:rsidRPr="00EF7014" w:rsidRDefault="00CB5F21" w:rsidP="001657B3">
            <w:pPr>
              <w:spacing w:after="120" w:line="276" w:lineRule="auto"/>
              <w:ind w:left="0"/>
            </w:pPr>
            <w:r w:rsidRPr="00EF7014">
              <w:t>Practitioners recognise how the interactions they have with learners can reinforce or dispel stereotypical patterns of behaviour.</w:t>
            </w:r>
          </w:p>
        </w:tc>
        <w:tc>
          <w:tcPr>
            <w:tcW w:w="1597" w:type="dxa"/>
            <w:tcBorders>
              <w:left w:val="single" w:sz="4" w:space="0" w:color="auto"/>
              <w:right w:val="single" w:sz="4" w:space="0" w:color="auto"/>
            </w:tcBorders>
          </w:tcPr>
          <w:p w14:paraId="0AEA2586" w14:textId="77777777" w:rsidR="00CB5F21" w:rsidRPr="00EF7014" w:rsidRDefault="00CB5F21" w:rsidP="001657B3">
            <w:pPr>
              <w:spacing w:after="120" w:line="276" w:lineRule="auto"/>
              <w:ind w:left="0"/>
            </w:pPr>
          </w:p>
        </w:tc>
        <w:tc>
          <w:tcPr>
            <w:tcW w:w="1364" w:type="dxa"/>
            <w:tcBorders>
              <w:left w:val="single" w:sz="4" w:space="0" w:color="auto"/>
              <w:right w:val="single" w:sz="4" w:space="0" w:color="auto"/>
            </w:tcBorders>
          </w:tcPr>
          <w:p w14:paraId="53AE2EF7" w14:textId="77777777" w:rsidR="00CB5F21" w:rsidRPr="00EF7014" w:rsidRDefault="00CB5F21" w:rsidP="001657B3">
            <w:pPr>
              <w:spacing w:after="120" w:line="276" w:lineRule="auto"/>
              <w:ind w:left="0"/>
            </w:pPr>
          </w:p>
        </w:tc>
        <w:tc>
          <w:tcPr>
            <w:tcW w:w="1523" w:type="dxa"/>
            <w:tcBorders>
              <w:left w:val="single" w:sz="4" w:space="0" w:color="auto"/>
              <w:right w:val="single" w:sz="4" w:space="0" w:color="auto"/>
            </w:tcBorders>
          </w:tcPr>
          <w:p w14:paraId="5C4C96CA" w14:textId="77777777" w:rsidR="00CB5F21" w:rsidRPr="00EF7014" w:rsidRDefault="00CB5F21" w:rsidP="001657B3">
            <w:pPr>
              <w:spacing w:after="120" w:line="276" w:lineRule="auto"/>
              <w:ind w:left="0"/>
            </w:pPr>
          </w:p>
        </w:tc>
      </w:tr>
      <w:tr w:rsidR="001657B3" w:rsidRPr="00EF7014" w14:paraId="3B46BAFE" w14:textId="77777777" w:rsidTr="00FD3206">
        <w:tc>
          <w:tcPr>
            <w:tcW w:w="5581" w:type="dxa"/>
          </w:tcPr>
          <w:p w14:paraId="7E79AACE" w14:textId="1C9A9EF1" w:rsidR="00CB5F21" w:rsidRDefault="00CB5F21" w:rsidP="001657B3">
            <w:pPr>
              <w:spacing w:after="120" w:line="276" w:lineRule="auto"/>
              <w:ind w:left="0"/>
            </w:pPr>
            <w:r w:rsidRPr="00EF7014">
              <w:t>Practitioners recognise that whole-class interactions can be dominated by a sub-group of learners (for example, a subgroup of the boys in the class), often because they are making themselves more visible.</w:t>
            </w:r>
          </w:p>
          <w:p w14:paraId="50A8FDCE" w14:textId="7B51716F" w:rsidR="00CB5F21" w:rsidRPr="00EF7014" w:rsidRDefault="00CB5F21" w:rsidP="001657B3">
            <w:pPr>
              <w:spacing w:after="120" w:line="276" w:lineRule="auto"/>
              <w:ind w:left="0"/>
            </w:pPr>
            <w:r w:rsidRPr="00EF7014">
              <w:t>Practitioners are confident in employing a range of strategies and techniques to support learner understanding of what balanced participation looks and feels like.</w:t>
            </w:r>
          </w:p>
        </w:tc>
        <w:tc>
          <w:tcPr>
            <w:tcW w:w="1597" w:type="dxa"/>
          </w:tcPr>
          <w:p w14:paraId="527CBF39" w14:textId="77777777" w:rsidR="00CB5F21" w:rsidRPr="00EF7014" w:rsidRDefault="00CB5F21" w:rsidP="001657B3">
            <w:pPr>
              <w:spacing w:after="120" w:line="276" w:lineRule="auto"/>
              <w:ind w:left="0"/>
            </w:pPr>
          </w:p>
        </w:tc>
        <w:tc>
          <w:tcPr>
            <w:tcW w:w="1364" w:type="dxa"/>
          </w:tcPr>
          <w:p w14:paraId="16C0D470" w14:textId="77777777" w:rsidR="00CB5F21" w:rsidRPr="00EF7014" w:rsidRDefault="00CB5F21" w:rsidP="001657B3">
            <w:pPr>
              <w:spacing w:after="120" w:line="276" w:lineRule="auto"/>
              <w:ind w:left="0"/>
            </w:pPr>
          </w:p>
        </w:tc>
        <w:tc>
          <w:tcPr>
            <w:tcW w:w="1523" w:type="dxa"/>
          </w:tcPr>
          <w:p w14:paraId="7EA28149" w14:textId="77777777" w:rsidR="00CB5F21" w:rsidRPr="00EF7014" w:rsidRDefault="00CB5F21" w:rsidP="001657B3">
            <w:pPr>
              <w:spacing w:after="120" w:line="276" w:lineRule="auto"/>
              <w:ind w:left="0"/>
            </w:pPr>
          </w:p>
        </w:tc>
      </w:tr>
      <w:tr w:rsidR="001657B3" w:rsidRPr="00EF7014" w14:paraId="60230BAD" w14:textId="77777777" w:rsidTr="00FD3206">
        <w:tc>
          <w:tcPr>
            <w:tcW w:w="5581" w:type="dxa"/>
          </w:tcPr>
          <w:p w14:paraId="2380644A" w14:textId="3F2251C7" w:rsidR="00CB5F21" w:rsidRPr="00EF7014" w:rsidRDefault="00CB5F21" w:rsidP="001657B3">
            <w:pPr>
              <w:spacing w:after="120" w:line="276" w:lineRule="auto"/>
              <w:ind w:left="0"/>
            </w:pPr>
            <w:r w:rsidRPr="00EF7014">
              <w:t>Practitioners are aware of the multiple ways in which unconscious bias can impact in the setting.</w:t>
            </w:r>
            <w:r w:rsidR="008703CD">
              <w:t xml:space="preserve"> P</w:t>
            </w:r>
            <w:r w:rsidRPr="00EF7014">
              <w:t xml:space="preserve">ractitioners recognise the potential for expecting and accepting different behaviours from </w:t>
            </w:r>
            <w:proofErr w:type="gramStart"/>
            <w:r w:rsidRPr="00EF7014">
              <w:t>boys and girls</w:t>
            </w:r>
            <w:proofErr w:type="gramEnd"/>
            <w:r w:rsidRPr="00EF7014">
              <w:t>; making assumptions about which areas of the setting/curriculum and types of activities learners will prefer; interacting differently with individuals; giving different advice and direction.</w:t>
            </w:r>
          </w:p>
        </w:tc>
        <w:tc>
          <w:tcPr>
            <w:tcW w:w="1597" w:type="dxa"/>
          </w:tcPr>
          <w:p w14:paraId="4082DF6A" w14:textId="77777777" w:rsidR="00CB5F21" w:rsidRPr="00EF7014" w:rsidRDefault="00CB5F21" w:rsidP="001657B3">
            <w:pPr>
              <w:spacing w:after="120" w:line="276" w:lineRule="auto"/>
              <w:ind w:left="0"/>
            </w:pPr>
          </w:p>
        </w:tc>
        <w:tc>
          <w:tcPr>
            <w:tcW w:w="1364" w:type="dxa"/>
          </w:tcPr>
          <w:p w14:paraId="77C1AFAF" w14:textId="77777777" w:rsidR="00CB5F21" w:rsidRPr="00EF7014" w:rsidRDefault="00CB5F21" w:rsidP="001657B3">
            <w:pPr>
              <w:spacing w:after="120" w:line="276" w:lineRule="auto"/>
              <w:ind w:left="0"/>
            </w:pPr>
          </w:p>
        </w:tc>
        <w:tc>
          <w:tcPr>
            <w:tcW w:w="1523" w:type="dxa"/>
          </w:tcPr>
          <w:p w14:paraId="5C7DC608" w14:textId="77777777" w:rsidR="00CB5F21" w:rsidRPr="00EF7014" w:rsidRDefault="00CB5F21" w:rsidP="001657B3">
            <w:pPr>
              <w:spacing w:after="120" w:line="276" w:lineRule="auto"/>
              <w:ind w:left="0"/>
            </w:pPr>
          </w:p>
        </w:tc>
      </w:tr>
      <w:tr w:rsidR="001657B3" w:rsidRPr="00EF7014" w14:paraId="1C8557CF" w14:textId="77777777" w:rsidTr="00FD3206">
        <w:tc>
          <w:tcPr>
            <w:tcW w:w="5581" w:type="dxa"/>
          </w:tcPr>
          <w:p w14:paraId="3B83E5D5" w14:textId="77777777" w:rsidR="00CB5F21" w:rsidRPr="00EF7014" w:rsidRDefault="00CB5F21" w:rsidP="001657B3">
            <w:pPr>
              <w:spacing w:after="120" w:line="276" w:lineRule="auto"/>
              <w:ind w:left="0"/>
            </w:pPr>
            <w:r w:rsidRPr="00EF7014">
              <w:t>Practitioners understand the potential for unconscious bias to influence how we describe individuals, what we praise or criticise, the language we use to praise and what success is ascribed to. Care is taken to sense-check verbal interactions and written reports.</w:t>
            </w:r>
          </w:p>
        </w:tc>
        <w:tc>
          <w:tcPr>
            <w:tcW w:w="1597" w:type="dxa"/>
          </w:tcPr>
          <w:p w14:paraId="138D2729" w14:textId="77777777" w:rsidR="00CB5F21" w:rsidRPr="00EF7014" w:rsidRDefault="00CB5F21" w:rsidP="001657B3">
            <w:pPr>
              <w:spacing w:after="120" w:line="276" w:lineRule="auto"/>
              <w:ind w:left="0"/>
            </w:pPr>
          </w:p>
        </w:tc>
        <w:tc>
          <w:tcPr>
            <w:tcW w:w="1364" w:type="dxa"/>
          </w:tcPr>
          <w:p w14:paraId="2923FF07" w14:textId="77777777" w:rsidR="00CB5F21" w:rsidRPr="00EF7014" w:rsidRDefault="00CB5F21" w:rsidP="001657B3">
            <w:pPr>
              <w:spacing w:after="120" w:line="276" w:lineRule="auto"/>
              <w:ind w:left="0"/>
            </w:pPr>
          </w:p>
        </w:tc>
        <w:tc>
          <w:tcPr>
            <w:tcW w:w="1523" w:type="dxa"/>
          </w:tcPr>
          <w:p w14:paraId="64FB6CAF" w14:textId="77777777" w:rsidR="00CB5F21" w:rsidRPr="00EF7014" w:rsidRDefault="00CB5F21" w:rsidP="001657B3">
            <w:pPr>
              <w:spacing w:after="120" w:line="276" w:lineRule="auto"/>
              <w:ind w:left="0"/>
            </w:pPr>
          </w:p>
        </w:tc>
      </w:tr>
      <w:tr w:rsidR="001657B3" w:rsidRPr="00EF7014" w14:paraId="5883FAE5" w14:textId="77777777" w:rsidTr="00FD3206">
        <w:tc>
          <w:tcPr>
            <w:tcW w:w="5581" w:type="dxa"/>
          </w:tcPr>
          <w:p w14:paraId="6940397D" w14:textId="77777777" w:rsidR="00D244B2" w:rsidRDefault="00CB5F21" w:rsidP="001657B3">
            <w:pPr>
              <w:spacing w:after="120" w:line="276" w:lineRule="auto"/>
              <w:ind w:left="0"/>
            </w:pPr>
            <w:r w:rsidRPr="00EF7014">
              <w:t xml:space="preserve">Teaching resources (including books, games, toys) are inclusive, reflect the diversity of the learners and the wider community and provide insight into the lives of others. </w:t>
            </w:r>
          </w:p>
          <w:p w14:paraId="428658B2" w14:textId="390E00C4" w:rsidR="00CB5F21" w:rsidRPr="00EF7014" w:rsidRDefault="00CB5F21" w:rsidP="001657B3">
            <w:pPr>
              <w:spacing w:after="120" w:line="276" w:lineRule="auto"/>
              <w:ind w:left="0"/>
            </w:pPr>
            <w:r w:rsidRPr="00EF7014">
              <w:t>Auditing of resources is supported or led by children</w:t>
            </w:r>
            <w:r w:rsidR="00D244B2">
              <w:t xml:space="preserve"> and </w:t>
            </w:r>
            <w:r w:rsidRPr="00EF7014">
              <w:t>young people.</w:t>
            </w:r>
          </w:p>
        </w:tc>
        <w:tc>
          <w:tcPr>
            <w:tcW w:w="1597" w:type="dxa"/>
          </w:tcPr>
          <w:p w14:paraId="6893AF61" w14:textId="77777777" w:rsidR="00CB5F21" w:rsidRPr="00EF7014" w:rsidRDefault="00CB5F21" w:rsidP="001657B3">
            <w:pPr>
              <w:spacing w:after="120" w:line="276" w:lineRule="auto"/>
              <w:ind w:left="0"/>
            </w:pPr>
          </w:p>
        </w:tc>
        <w:tc>
          <w:tcPr>
            <w:tcW w:w="1364" w:type="dxa"/>
          </w:tcPr>
          <w:p w14:paraId="04BC0391" w14:textId="77777777" w:rsidR="00CB5F21" w:rsidRPr="00EF7014" w:rsidRDefault="00CB5F21" w:rsidP="001657B3">
            <w:pPr>
              <w:spacing w:after="120" w:line="276" w:lineRule="auto"/>
              <w:ind w:left="0"/>
            </w:pPr>
          </w:p>
        </w:tc>
        <w:tc>
          <w:tcPr>
            <w:tcW w:w="1523" w:type="dxa"/>
          </w:tcPr>
          <w:p w14:paraId="3BE197A9" w14:textId="77777777" w:rsidR="00CB5F21" w:rsidRPr="00EF7014" w:rsidRDefault="00CB5F21" w:rsidP="001657B3">
            <w:pPr>
              <w:spacing w:after="120" w:line="276" w:lineRule="auto"/>
              <w:ind w:left="0"/>
            </w:pPr>
          </w:p>
        </w:tc>
      </w:tr>
      <w:tr w:rsidR="001657B3" w:rsidRPr="00EF7014" w14:paraId="6B01C26B" w14:textId="77777777" w:rsidTr="00FD3206">
        <w:tc>
          <w:tcPr>
            <w:tcW w:w="5581" w:type="dxa"/>
          </w:tcPr>
          <w:p w14:paraId="7361AF71" w14:textId="6AE3E34B" w:rsidR="00CB5F21" w:rsidRPr="00EF7014" w:rsidRDefault="00CB5F21" w:rsidP="001657B3">
            <w:pPr>
              <w:spacing w:after="120" w:line="276" w:lineRule="auto"/>
              <w:ind w:left="0"/>
            </w:pPr>
            <w:r w:rsidRPr="00EF7014">
              <w:t>Practitioners are aware of their own language and there is an open and supportive ethos where all members of the learning community feel comfortable to support each other in monitoring language use.</w:t>
            </w:r>
          </w:p>
        </w:tc>
        <w:tc>
          <w:tcPr>
            <w:tcW w:w="1597" w:type="dxa"/>
          </w:tcPr>
          <w:p w14:paraId="2D196C27" w14:textId="77777777" w:rsidR="00CB5F21" w:rsidRPr="00EF7014" w:rsidRDefault="00CB5F21" w:rsidP="001657B3">
            <w:pPr>
              <w:spacing w:after="120" w:line="276" w:lineRule="auto"/>
              <w:ind w:left="0"/>
            </w:pPr>
          </w:p>
        </w:tc>
        <w:tc>
          <w:tcPr>
            <w:tcW w:w="1364" w:type="dxa"/>
          </w:tcPr>
          <w:p w14:paraId="4356DEF2" w14:textId="77777777" w:rsidR="00CB5F21" w:rsidRPr="00EF7014" w:rsidRDefault="00CB5F21" w:rsidP="001657B3">
            <w:pPr>
              <w:spacing w:after="120" w:line="276" w:lineRule="auto"/>
              <w:ind w:left="0"/>
            </w:pPr>
          </w:p>
        </w:tc>
        <w:tc>
          <w:tcPr>
            <w:tcW w:w="1523" w:type="dxa"/>
          </w:tcPr>
          <w:p w14:paraId="76B3CE64" w14:textId="77777777" w:rsidR="00CB5F21" w:rsidRPr="00EF7014" w:rsidRDefault="00CB5F21" w:rsidP="001657B3">
            <w:pPr>
              <w:spacing w:after="120" w:line="276" w:lineRule="auto"/>
              <w:ind w:left="0"/>
            </w:pPr>
          </w:p>
        </w:tc>
      </w:tr>
    </w:tbl>
    <w:p w14:paraId="74EEA842" w14:textId="75596ED3" w:rsidR="001657B3" w:rsidRPr="00E73E09" w:rsidRDefault="00D244B2" w:rsidP="00E73E09">
      <w:pPr>
        <w:pStyle w:val="Heading1"/>
      </w:pPr>
      <w:r w:rsidRPr="00D244B2">
        <w:lastRenderedPageBreak/>
        <w:t xml:space="preserve">Families </w:t>
      </w:r>
      <w:r>
        <w:t>and</w:t>
      </w:r>
      <w:r w:rsidRPr="00D244B2">
        <w:t xml:space="preserve"> </w:t>
      </w:r>
      <w:r>
        <w:t>c</w:t>
      </w:r>
      <w:r w:rsidRPr="00D244B2">
        <w:t>ommunities</w:t>
      </w:r>
    </w:p>
    <w:tbl>
      <w:tblPr>
        <w:tblStyle w:val="TableGrid"/>
        <w:tblpPr w:leftFromText="180" w:rightFromText="180" w:vertAnchor="text" w:horzAnchor="margin" w:tblpY="226"/>
        <w:tblW w:w="10060" w:type="dxa"/>
        <w:tblLook w:val="04A0" w:firstRow="1" w:lastRow="0" w:firstColumn="1" w:lastColumn="0" w:noHBand="0" w:noVBand="1"/>
      </w:tblPr>
      <w:tblGrid>
        <w:gridCol w:w="5665"/>
        <w:gridCol w:w="1560"/>
        <w:gridCol w:w="1312"/>
        <w:gridCol w:w="1523"/>
      </w:tblGrid>
      <w:tr w:rsidR="001657B3" w:rsidRPr="001657B3" w14:paraId="21D6A2B7" w14:textId="77777777" w:rsidTr="00DB1844">
        <w:tc>
          <w:tcPr>
            <w:tcW w:w="5665" w:type="dxa"/>
            <w:shd w:val="clear" w:color="auto" w:fill="auto"/>
            <w:vAlign w:val="center"/>
          </w:tcPr>
          <w:p w14:paraId="044048C3" w14:textId="77777777" w:rsidR="001657B3" w:rsidRPr="001657B3" w:rsidRDefault="001657B3" w:rsidP="001657B3">
            <w:pPr>
              <w:spacing w:after="120" w:line="276" w:lineRule="auto"/>
              <w:ind w:left="0"/>
              <w:rPr>
                <w:b/>
                <w:bCs/>
              </w:rPr>
            </w:pPr>
            <w:r w:rsidRPr="001657B3">
              <w:rPr>
                <w:b/>
                <w:bCs/>
              </w:rPr>
              <w:t>Parental and carer engagement</w:t>
            </w:r>
          </w:p>
        </w:tc>
        <w:tc>
          <w:tcPr>
            <w:tcW w:w="1560" w:type="dxa"/>
          </w:tcPr>
          <w:p w14:paraId="313417D7" w14:textId="41088589" w:rsidR="001657B3" w:rsidRPr="001657B3" w:rsidRDefault="001657B3" w:rsidP="001657B3">
            <w:pPr>
              <w:spacing w:after="120" w:line="276" w:lineRule="auto"/>
              <w:ind w:left="0"/>
            </w:pPr>
            <w:r w:rsidRPr="00D4492E">
              <w:rPr>
                <w:b/>
                <w:bCs/>
                <w:color w:val="C00000"/>
              </w:rPr>
              <w:t>Exploring</w:t>
            </w:r>
          </w:p>
        </w:tc>
        <w:tc>
          <w:tcPr>
            <w:tcW w:w="1312" w:type="dxa"/>
          </w:tcPr>
          <w:p w14:paraId="36835305" w14:textId="7C52E175" w:rsidR="001657B3" w:rsidRPr="001657B3" w:rsidRDefault="001657B3" w:rsidP="001657B3">
            <w:pPr>
              <w:spacing w:after="120" w:line="276" w:lineRule="auto"/>
              <w:ind w:left="0"/>
            </w:pPr>
            <w:r w:rsidRPr="00BE0321">
              <w:rPr>
                <w:b/>
                <w:bCs/>
                <w:color w:val="806000" w:themeColor="accent4" w:themeShade="80"/>
              </w:rPr>
              <w:t>Adopting</w:t>
            </w:r>
          </w:p>
        </w:tc>
        <w:tc>
          <w:tcPr>
            <w:tcW w:w="1523" w:type="dxa"/>
          </w:tcPr>
          <w:p w14:paraId="6714BE55" w14:textId="28968E67" w:rsidR="001657B3" w:rsidRPr="001657B3" w:rsidRDefault="001657B3" w:rsidP="001657B3">
            <w:pPr>
              <w:spacing w:after="120" w:line="276" w:lineRule="auto"/>
              <w:ind w:left="0"/>
            </w:pPr>
            <w:r w:rsidRPr="00D4492E">
              <w:rPr>
                <w:b/>
                <w:bCs/>
                <w:color w:val="385623" w:themeColor="accent6" w:themeShade="80"/>
              </w:rPr>
              <w:t>Embedding</w:t>
            </w:r>
          </w:p>
        </w:tc>
      </w:tr>
      <w:tr w:rsidR="00DB1844" w:rsidRPr="001657B3" w14:paraId="292713F1" w14:textId="77777777" w:rsidTr="00DB1844">
        <w:tc>
          <w:tcPr>
            <w:tcW w:w="5665" w:type="dxa"/>
            <w:vAlign w:val="center"/>
          </w:tcPr>
          <w:p w14:paraId="422D062B" w14:textId="77777777" w:rsidR="001657B3" w:rsidRPr="001657B3" w:rsidRDefault="001657B3" w:rsidP="001657B3">
            <w:pPr>
              <w:spacing w:after="120" w:line="276" w:lineRule="auto"/>
              <w:ind w:left="0"/>
            </w:pPr>
            <w:r w:rsidRPr="001657B3">
              <w:t>The setting works to ensure that all members of the wider setting community are meaningfully involved in equalities work. The needs and context of the setting community are explored and communicated.</w:t>
            </w:r>
          </w:p>
        </w:tc>
        <w:tc>
          <w:tcPr>
            <w:tcW w:w="1560" w:type="dxa"/>
            <w:vAlign w:val="center"/>
          </w:tcPr>
          <w:p w14:paraId="54528898" w14:textId="77777777" w:rsidR="001657B3" w:rsidRPr="001657B3" w:rsidRDefault="001657B3" w:rsidP="001657B3">
            <w:pPr>
              <w:spacing w:after="120" w:line="276" w:lineRule="auto"/>
              <w:ind w:left="0"/>
            </w:pPr>
          </w:p>
        </w:tc>
        <w:tc>
          <w:tcPr>
            <w:tcW w:w="1312" w:type="dxa"/>
            <w:vAlign w:val="center"/>
          </w:tcPr>
          <w:p w14:paraId="7D4F1B69" w14:textId="77777777" w:rsidR="001657B3" w:rsidRPr="001657B3" w:rsidRDefault="001657B3" w:rsidP="001657B3">
            <w:pPr>
              <w:spacing w:after="120" w:line="276" w:lineRule="auto"/>
              <w:ind w:left="0"/>
            </w:pPr>
          </w:p>
        </w:tc>
        <w:tc>
          <w:tcPr>
            <w:tcW w:w="1523" w:type="dxa"/>
            <w:vAlign w:val="center"/>
          </w:tcPr>
          <w:p w14:paraId="5EDB966F" w14:textId="77777777" w:rsidR="001657B3" w:rsidRPr="001657B3" w:rsidRDefault="001657B3" w:rsidP="001657B3">
            <w:pPr>
              <w:spacing w:after="120" w:line="276" w:lineRule="auto"/>
              <w:ind w:left="0"/>
            </w:pPr>
          </w:p>
        </w:tc>
      </w:tr>
      <w:tr w:rsidR="00DB1844" w:rsidRPr="001657B3" w14:paraId="121E4DB5" w14:textId="77777777" w:rsidTr="00DB1844">
        <w:tc>
          <w:tcPr>
            <w:tcW w:w="5665" w:type="dxa"/>
            <w:vAlign w:val="center"/>
          </w:tcPr>
          <w:p w14:paraId="5B34C271" w14:textId="77777777" w:rsidR="001657B3" w:rsidRPr="001657B3" w:rsidRDefault="001657B3" w:rsidP="001657B3">
            <w:pPr>
              <w:spacing w:after="120" w:line="276" w:lineRule="auto"/>
              <w:ind w:left="0"/>
            </w:pPr>
            <w:r w:rsidRPr="001657B3">
              <w:t>The wider setting community is involved in the design and delivery of our improving gender balance and equalities initiatives. We consult with parents and carers regularly to ensure that we are meeting the needs and ambitions of all families within the learning community.</w:t>
            </w:r>
          </w:p>
        </w:tc>
        <w:tc>
          <w:tcPr>
            <w:tcW w:w="1560" w:type="dxa"/>
            <w:vAlign w:val="center"/>
          </w:tcPr>
          <w:p w14:paraId="1214443E" w14:textId="77777777" w:rsidR="001657B3" w:rsidRPr="001657B3" w:rsidRDefault="001657B3" w:rsidP="001657B3">
            <w:pPr>
              <w:spacing w:after="120" w:line="276" w:lineRule="auto"/>
              <w:ind w:left="0"/>
            </w:pPr>
          </w:p>
        </w:tc>
        <w:tc>
          <w:tcPr>
            <w:tcW w:w="1312" w:type="dxa"/>
            <w:vAlign w:val="center"/>
          </w:tcPr>
          <w:p w14:paraId="2E8AB42C" w14:textId="77777777" w:rsidR="001657B3" w:rsidRPr="001657B3" w:rsidRDefault="001657B3" w:rsidP="001657B3">
            <w:pPr>
              <w:spacing w:after="120" w:line="276" w:lineRule="auto"/>
              <w:ind w:left="0"/>
            </w:pPr>
          </w:p>
        </w:tc>
        <w:tc>
          <w:tcPr>
            <w:tcW w:w="1523" w:type="dxa"/>
            <w:vAlign w:val="center"/>
          </w:tcPr>
          <w:p w14:paraId="1A2ED7ED" w14:textId="77777777" w:rsidR="001657B3" w:rsidRPr="001657B3" w:rsidRDefault="001657B3" w:rsidP="001657B3">
            <w:pPr>
              <w:spacing w:after="120" w:line="276" w:lineRule="auto"/>
              <w:ind w:left="0"/>
            </w:pPr>
          </w:p>
        </w:tc>
      </w:tr>
      <w:tr w:rsidR="00DB1844" w:rsidRPr="001657B3" w14:paraId="79083E1E" w14:textId="77777777" w:rsidTr="00DB1844">
        <w:tc>
          <w:tcPr>
            <w:tcW w:w="5665" w:type="dxa"/>
            <w:vAlign w:val="center"/>
          </w:tcPr>
          <w:p w14:paraId="2F97CB7B" w14:textId="77777777" w:rsidR="001657B3" w:rsidRPr="001657B3" w:rsidRDefault="001657B3" w:rsidP="001657B3">
            <w:pPr>
              <w:spacing w:after="120" w:line="276" w:lineRule="auto"/>
              <w:ind w:left="0"/>
            </w:pPr>
            <w:r w:rsidRPr="001657B3">
              <w:t>All communications from the setting exemplify good practice in terms of inclusion and representation. Practitioners are aware of the different family structures in modern Scotland and all families feel included and represented.</w:t>
            </w:r>
          </w:p>
        </w:tc>
        <w:tc>
          <w:tcPr>
            <w:tcW w:w="1560" w:type="dxa"/>
            <w:vAlign w:val="center"/>
          </w:tcPr>
          <w:p w14:paraId="6D660665" w14:textId="77777777" w:rsidR="001657B3" w:rsidRPr="001657B3" w:rsidRDefault="001657B3" w:rsidP="001657B3">
            <w:pPr>
              <w:spacing w:after="120" w:line="276" w:lineRule="auto"/>
              <w:ind w:left="0"/>
            </w:pPr>
          </w:p>
        </w:tc>
        <w:tc>
          <w:tcPr>
            <w:tcW w:w="1312" w:type="dxa"/>
            <w:vAlign w:val="center"/>
          </w:tcPr>
          <w:p w14:paraId="7E10534A" w14:textId="77777777" w:rsidR="001657B3" w:rsidRPr="001657B3" w:rsidRDefault="001657B3" w:rsidP="001657B3">
            <w:pPr>
              <w:spacing w:after="120" w:line="276" w:lineRule="auto"/>
              <w:ind w:left="0"/>
            </w:pPr>
          </w:p>
        </w:tc>
        <w:tc>
          <w:tcPr>
            <w:tcW w:w="1523" w:type="dxa"/>
            <w:vAlign w:val="center"/>
          </w:tcPr>
          <w:p w14:paraId="53582ECD" w14:textId="77777777" w:rsidR="001657B3" w:rsidRPr="001657B3" w:rsidRDefault="001657B3" w:rsidP="001657B3">
            <w:pPr>
              <w:spacing w:after="120" w:line="276" w:lineRule="auto"/>
              <w:ind w:left="0"/>
            </w:pPr>
          </w:p>
        </w:tc>
      </w:tr>
      <w:tr w:rsidR="00DB1844" w:rsidRPr="001657B3" w14:paraId="05C6BC33" w14:textId="77777777" w:rsidTr="00DB1844">
        <w:tc>
          <w:tcPr>
            <w:tcW w:w="5665" w:type="dxa"/>
            <w:vAlign w:val="center"/>
          </w:tcPr>
          <w:p w14:paraId="4C440852" w14:textId="77777777" w:rsidR="001657B3" w:rsidRPr="001657B3" w:rsidRDefault="001657B3" w:rsidP="001657B3">
            <w:pPr>
              <w:spacing w:after="120" w:line="276" w:lineRule="auto"/>
              <w:ind w:left="0"/>
            </w:pPr>
            <w:r w:rsidRPr="001657B3">
              <w:t xml:space="preserve">Care is taken to sense-check for assumptions and pre-conceptions when talking to different audiences. This might include considerations around gender, race, class </w:t>
            </w:r>
            <w:proofErr w:type="gramStart"/>
            <w:r w:rsidRPr="001657B3">
              <w:t>and so on</w:t>
            </w:r>
            <w:proofErr w:type="gramEnd"/>
            <w:r w:rsidRPr="001657B3">
              <w:t>.</w:t>
            </w:r>
          </w:p>
        </w:tc>
        <w:tc>
          <w:tcPr>
            <w:tcW w:w="1560" w:type="dxa"/>
            <w:vAlign w:val="center"/>
          </w:tcPr>
          <w:p w14:paraId="690022B4" w14:textId="77777777" w:rsidR="001657B3" w:rsidRPr="001657B3" w:rsidRDefault="001657B3" w:rsidP="001657B3">
            <w:pPr>
              <w:spacing w:after="120" w:line="276" w:lineRule="auto"/>
              <w:ind w:left="0"/>
            </w:pPr>
          </w:p>
        </w:tc>
        <w:tc>
          <w:tcPr>
            <w:tcW w:w="1312" w:type="dxa"/>
            <w:vAlign w:val="center"/>
          </w:tcPr>
          <w:p w14:paraId="45404954" w14:textId="77777777" w:rsidR="001657B3" w:rsidRPr="001657B3" w:rsidRDefault="001657B3" w:rsidP="001657B3">
            <w:pPr>
              <w:spacing w:after="120" w:line="276" w:lineRule="auto"/>
              <w:ind w:left="0"/>
            </w:pPr>
          </w:p>
        </w:tc>
        <w:tc>
          <w:tcPr>
            <w:tcW w:w="1523" w:type="dxa"/>
            <w:vAlign w:val="center"/>
          </w:tcPr>
          <w:p w14:paraId="4E49F19C" w14:textId="77777777" w:rsidR="001657B3" w:rsidRPr="001657B3" w:rsidRDefault="001657B3" w:rsidP="001657B3">
            <w:pPr>
              <w:spacing w:after="120" w:line="276" w:lineRule="auto"/>
              <w:ind w:left="0"/>
            </w:pPr>
          </w:p>
        </w:tc>
      </w:tr>
      <w:tr w:rsidR="00DB1844" w:rsidRPr="001657B3" w14:paraId="5AA24647" w14:textId="77777777" w:rsidTr="00DB1844">
        <w:tc>
          <w:tcPr>
            <w:tcW w:w="5665" w:type="dxa"/>
            <w:vAlign w:val="center"/>
          </w:tcPr>
          <w:p w14:paraId="342EB1CA" w14:textId="77777777" w:rsidR="001657B3" w:rsidRPr="001657B3" w:rsidRDefault="001657B3" w:rsidP="001657B3">
            <w:pPr>
              <w:spacing w:after="120" w:line="276" w:lineRule="auto"/>
              <w:ind w:left="0"/>
            </w:pPr>
            <w:r w:rsidRPr="001657B3">
              <w:t>Practitioners feel confident to discuss inequalities, bias and stereotyping with parents/carers of all backgrounds and can present alternative viewpoints as appropriate.</w:t>
            </w:r>
          </w:p>
        </w:tc>
        <w:tc>
          <w:tcPr>
            <w:tcW w:w="1560" w:type="dxa"/>
            <w:vAlign w:val="center"/>
          </w:tcPr>
          <w:p w14:paraId="7E67743C" w14:textId="77777777" w:rsidR="001657B3" w:rsidRPr="001657B3" w:rsidRDefault="001657B3" w:rsidP="001657B3">
            <w:pPr>
              <w:spacing w:after="120" w:line="276" w:lineRule="auto"/>
              <w:ind w:left="0"/>
            </w:pPr>
          </w:p>
        </w:tc>
        <w:tc>
          <w:tcPr>
            <w:tcW w:w="1312" w:type="dxa"/>
            <w:vAlign w:val="center"/>
          </w:tcPr>
          <w:p w14:paraId="61E32A8A" w14:textId="77777777" w:rsidR="001657B3" w:rsidRPr="001657B3" w:rsidRDefault="001657B3" w:rsidP="001657B3">
            <w:pPr>
              <w:spacing w:after="120" w:line="276" w:lineRule="auto"/>
              <w:ind w:left="0"/>
            </w:pPr>
          </w:p>
        </w:tc>
        <w:tc>
          <w:tcPr>
            <w:tcW w:w="1523" w:type="dxa"/>
            <w:vAlign w:val="center"/>
          </w:tcPr>
          <w:p w14:paraId="62E3DD00" w14:textId="77777777" w:rsidR="001657B3" w:rsidRPr="001657B3" w:rsidRDefault="001657B3" w:rsidP="001657B3">
            <w:pPr>
              <w:spacing w:after="120" w:line="276" w:lineRule="auto"/>
              <w:ind w:left="0"/>
            </w:pPr>
          </w:p>
        </w:tc>
      </w:tr>
    </w:tbl>
    <w:tbl>
      <w:tblPr>
        <w:tblStyle w:val="TableGrid"/>
        <w:tblW w:w="10065" w:type="dxa"/>
        <w:tblInd w:w="-5" w:type="dxa"/>
        <w:tblLook w:val="04A0" w:firstRow="1" w:lastRow="0" w:firstColumn="1" w:lastColumn="0" w:noHBand="0" w:noVBand="1"/>
      </w:tblPr>
      <w:tblGrid>
        <w:gridCol w:w="5670"/>
        <w:gridCol w:w="1560"/>
        <w:gridCol w:w="1312"/>
        <w:gridCol w:w="1523"/>
      </w:tblGrid>
      <w:tr w:rsidR="00DB1844" w:rsidRPr="00DB1844" w14:paraId="7005E193" w14:textId="77777777" w:rsidTr="00DB1844">
        <w:tc>
          <w:tcPr>
            <w:tcW w:w="5670" w:type="dxa"/>
            <w:tcBorders>
              <w:bottom w:val="single" w:sz="4" w:space="0" w:color="auto"/>
            </w:tcBorders>
            <w:shd w:val="clear" w:color="auto" w:fill="auto"/>
          </w:tcPr>
          <w:p w14:paraId="7E5FCD55" w14:textId="77777777" w:rsidR="00DB1844" w:rsidRPr="00DB1844" w:rsidRDefault="00DB1844" w:rsidP="00DB1844">
            <w:pPr>
              <w:ind w:left="0"/>
              <w:rPr>
                <w:b/>
                <w:bCs/>
              </w:rPr>
            </w:pPr>
            <w:r w:rsidRPr="00DB1844">
              <w:rPr>
                <w:b/>
                <w:bCs/>
              </w:rPr>
              <w:t>Collaborating with Partners</w:t>
            </w:r>
          </w:p>
        </w:tc>
        <w:tc>
          <w:tcPr>
            <w:tcW w:w="1560" w:type="dxa"/>
            <w:tcBorders>
              <w:bottom w:val="single" w:sz="4" w:space="0" w:color="auto"/>
            </w:tcBorders>
          </w:tcPr>
          <w:p w14:paraId="3C55382E" w14:textId="4EC900CD" w:rsidR="00DB1844" w:rsidRPr="00DB1844" w:rsidRDefault="00DB1844" w:rsidP="00DB1844">
            <w:pPr>
              <w:ind w:left="0"/>
              <w:rPr>
                <w:b/>
                <w:bCs/>
              </w:rPr>
            </w:pPr>
            <w:r w:rsidRPr="00D4492E">
              <w:rPr>
                <w:b/>
                <w:bCs/>
                <w:color w:val="C00000"/>
              </w:rPr>
              <w:t>Exploring</w:t>
            </w:r>
          </w:p>
        </w:tc>
        <w:tc>
          <w:tcPr>
            <w:tcW w:w="1312" w:type="dxa"/>
            <w:tcBorders>
              <w:bottom w:val="single" w:sz="4" w:space="0" w:color="auto"/>
            </w:tcBorders>
          </w:tcPr>
          <w:p w14:paraId="2C5911C2" w14:textId="331930D9" w:rsidR="00DB1844" w:rsidRPr="00DB1844" w:rsidRDefault="00DB1844" w:rsidP="00DB1844">
            <w:pPr>
              <w:ind w:left="0"/>
              <w:rPr>
                <w:b/>
                <w:bCs/>
              </w:rPr>
            </w:pPr>
            <w:r w:rsidRPr="00BE0321">
              <w:rPr>
                <w:b/>
                <w:bCs/>
                <w:color w:val="806000" w:themeColor="accent4" w:themeShade="80"/>
              </w:rPr>
              <w:t>Adopting</w:t>
            </w:r>
          </w:p>
        </w:tc>
        <w:tc>
          <w:tcPr>
            <w:tcW w:w="1523" w:type="dxa"/>
            <w:tcBorders>
              <w:bottom w:val="single" w:sz="4" w:space="0" w:color="auto"/>
            </w:tcBorders>
          </w:tcPr>
          <w:p w14:paraId="700AF92B" w14:textId="3A8DB388" w:rsidR="00DB1844" w:rsidRPr="00DB1844" w:rsidRDefault="00DB1844" w:rsidP="00DB1844">
            <w:pPr>
              <w:ind w:left="0"/>
              <w:rPr>
                <w:b/>
                <w:bCs/>
              </w:rPr>
            </w:pPr>
            <w:r w:rsidRPr="00D4492E">
              <w:rPr>
                <w:b/>
                <w:bCs/>
                <w:color w:val="385623" w:themeColor="accent6" w:themeShade="80"/>
              </w:rPr>
              <w:t>Embedding</w:t>
            </w:r>
          </w:p>
        </w:tc>
      </w:tr>
      <w:tr w:rsidR="00DB1844" w:rsidRPr="00DB1844" w14:paraId="1EEB9251" w14:textId="77777777" w:rsidTr="00DB1844">
        <w:tc>
          <w:tcPr>
            <w:tcW w:w="5670" w:type="dxa"/>
          </w:tcPr>
          <w:p w14:paraId="2CABC774" w14:textId="77777777" w:rsidR="00DB1844" w:rsidRPr="00DB1844" w:rsidRDefault="00DB1844" w:rsidP="00DB1844">
            <w:pPr>
              <w:spacing w:line="276" w:lineRule="auto"/>
              <w:ind w:left="0"/>
            </w:pPr>
            <w:r w:rsidRPr="00DB1844">
              <w:t>All practitioners have a good understanding of gender based violence and domestic abuse, the indicators of domestic abuse and of the challenges faced by children and young people living with domestic abuse.</w:t>
            </w:r>
          </w:p>
          <w:p w14:paraId="550F7B24" w14:textId="77777777" w:rsidR="00DB1844" w:rsidRPr="00DB1844" w:rsidRDefault="00DB1844" w:rsidP="00DB1844">
            <w:pPr>
              <w:spacing w:line="276" w:lineRule="auto"/>
              <w:ind w:left="0"/>
              <w:rPr>
                <w:b/>
                <w:bCs/>
              </w:rPr>
            </w:pPr>
            <w:r w:rsidRPr="00DB1844">
              <w:t>All practitioners understand their role in challenging gender based violence through promoting an ethos and culture of equality throughout the curriculum and the whole setting experience. Settings engage with specialist organisations for support, professional learning and advice.</w:t>
            </w:r>
          </w:p>
        </w:tc>
        <w:tc>
          <w:tcPr>
            <w:tcW w:w="1560" w:type="dxa"/>
          </w:tcPr>
          <w:p w14:paraId="4DF3F14A" w14:textId="77777777" w:rsidR="00DB1844" w:rsidRPr="00DB1844" w:rsidRDefault="00DB1844" w:rsidP="00DB1844">
            <w:pPr>
              <w:spacing w:line="360" w:lineRule="auto"/>
              <w:ind w:left="0"/>
              <w:rPr>
                <w:b/>
                <w:bCs/>
              </w:rPr>
            </w:pPr>
          </w:p>
        </w:tc>
        <w:tc>
          <w:tcPr>
            <w:tcW w:w="1312" w:type="dxa"/>
          </w:tcPr>
          <w:p w14:paraId="227C7C3A" w14:textId="77777777" w:rsidR="00DB1844" w:rsidRPr="00DB1844" w:rsidRDefault="00DB1844" w:rsidP="00DB1844">
            <w:pPr>
              <w:spacing w:line="360" w:lineRule="auto"/>
              <w:ind w:left="0"/>
              <w:rPr>
                <w:b/>
                <w:bCs/>
              </w:rPr>
            </w:pPr>
          </w:p>
        </w:tc>
        <w:tc>
          <w:tcPr>
            <w:tcW w:w="1523" w:type="dxa"/>
          </w:tcPr>
          <w:p w14:paraId="1CB67678" w14:textId="77777777" w:rsidR="00DB1844" w:rsidRPr="00DB1844" w:rsidRDefault="00DB1844" w:rsidP="00DB1844">
            <w:pPr>
              <w:spacing w:line="360" w:lineRule="auto"/>
              <w:ind w:left="0"/>
              <w:rPr>
                <w:b/>
                <w:bCs/>
              </w:rPr>
            </w:pPr>
          </w:p>
        </w:tc>
      </w:tr>
    </w:tbl>
    <w:p w14:paraId="4F72B6DA" w14:textId="37397F76" w:rsidR="00027C27" w:rsidRPr="009B7615" w:rsidRDefault="00DB1844" w:rsidP="00C50E39">
      <w:pPr>
        <w:ind w:left="0"/>
      </w:pPr>
      <w:r w:rsidRPr="00DB1844">
        <w:rPr>
          <w:b/>
          <w:bCs/>
        </w:rPr>
        <w:t>[END OF SELF-EVALUATION]</w:t>
      </w:r>
    </w:p>
    <w:sectPr w:rsidR="00027C27" w:rsidRPr="009B7615" w:rsidSect="001657B3">
      <w:pgSz w:w="11906" w:h="16838" w:code="9"/>
      <w:pgMar w:top="1135" w:right="991"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255C" w14:textId="77777777" w:rsidR="0068461D" w:rsidRDefault="0068461D" w:rsidP="00D86C25">
      <w:pPr>
        <w:spacing w:before="0" w:after="0" w:line="240" w:lineRule="auto"/>
      </w:pPr>
      <w:r>
        <w:separator/>
      </w:r>
    </w:p>
  </w:endnote>
  <w:endnote w:type="continuationSeparator" w:id="0">
    <w:p w14:paraId="414939EF" w14:textId="77777777" w:rsidR="0068461D" w:rsidRDefault="0068461D" w:rsidP="00D86C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1024" w14:textId="77777777" w:rsidR="0068461D" w:rsidRDefault="0068461D" w:rsidP="00D86C25">
      <w:pPr>
        <w:spacing w:before="0" w:after="0" w:line="240" w:lineRule="auto"/>
      </w:pPr>
      <w:r>
        <w:separator/>
      </w:r>
    </w:p>
  </w:footnote>
  <w:footnote w:type="continuationSeparator" w:id="0">
    <w:p w14:paraId="105101E8" w14:textId="77777777" w:rsidR="0068461D" w:rsidRDefault="0068461D" w:rsidP="00D86C2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D544D0E"/>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5624FA7"/>
    <w:multiLevelType w:val="multilevel"/>
    <w:tmpl w:val="154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D5D5D"/>
    <w:multiLevelType w:val="hybridMultilevel"/>
    <w:tmpl w:val="10B6707A"/>
    <w:lvl w:ilvl="0" w:tplc="64DCA402">
      <w:start w:val="1"/>
      <w:numFmt w:val="decimal"/>
      <w:pStyle w:val="ListParagraph"/>
      <w:lvlText w:val="%1."/>
      <w:lvlJc w:val="left"/>
      <w:pPr>
        <w:ind w:left="644"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6499C"/>
    <w:multiLevelType w:val="multilevel"/>
    <w:tmpl w:val="7924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75688"/>
    <w:multiLevelType w:val="multilevel"/>
    <w:tmpl w:val="CBB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56170594">
    <w:abstractNumId w:val="5"/>
  </w:num>
  <w:num w:numId="2" w16cid:durableId="1662074974">
    <w:abstractNumId w:val="0"/>
  </w:num>
  <w:num w:numId="3" w16cid:durableId="754517982">
    <w:abstractNumId w:val="0"/>
  </w:num>
  <w:num w:numId="4" w16cid:durableId="1182822344">
    <w:abstractNumId w:val="0"/>
  </w:num>
  <w:num w:numId="5" w16cid:durableId="604847815">
    <w:abstractNumId w:val="5"/>
  </w:num>
  <w:num w:numId="6" w16cid:durableId="1713578708">
    <w:abstractNumId w:val="0"/>
  </w:num>
  <w:num w:numId="7" w16cid:durableId="742413324">
    <w:abstractNumId w:val="0"/>
  </w:num>
  <w:num w:numId="8" w16cid:durableId="1824542911">
    <w:abstractNumId w:val="0"/>
  </w:num>
  <w:num w:numId="9" w16cid:durableId="1443570525">
    <w:abstractNumId w:val="2"/>
  </w:num>
  <w:num w:numId="10" w16cid:durableId="439573432">
    <w:abstractNumId w:val="1"/>
  </w:num>
  <w:num w:numId="11" w16cid:durableId="607352999">
    <w:abstractNumId w:val="3"/>
  </w:num>
  <w:num w:numId="12" w16cid:durableId="451170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25"/>
    <w:rsid w:val="00027C27"/>
    <w:rsid w:val="00036D57"/>
    <w:rsid w:val="000818B7"/>
    <w:rsid w:val="000B24B5"/>
    <w:rsid w:val="000C0CF4"/>
    <w:rsid w:val="001200A4"/>
    <w:rsid w:val="001657B3"/>
    <w:rsid w:val="00201501"/>
    <w:rsid w:val="00251DB2"/>
    <w:rsid w:val="00281579"/>
    <w:rsid w:val="002D1DB1"/>
    <w:rsid w:val="00306C61"/>
    <w:rsid w:val="00367F9C"/>
    <w:rsid w:val="0037582B"/>
    <w:rsid w:val="003A1F25"/>
    <w:rsid w:val="003B6727"/>
    <w:rsid w:val="003D444C"/>
    <w:rsid w:val="004915A0"/>
    <w:rsid w:val="004B3CD1"/>
    <w:rsid w:val="004C3596"/>
    <w:rsid w:val="004D33D2"/>
    <w:rsid w:val="00584EAF"/>
    <w:rsid w:val="00653F7E"/>
    <w:rsid w:val="0068461D"/>
    <w:rsid w:val="0070042C"/>
    <w:rsid w:val="007955B1"/>
    <w:rsid w:val="007C1EE3"/>
    <w:rsid w:val="00857548"/>
    <w:rsid w:val="008703CD"/>
    <w:rsid w:val="00924F0B"/>
    <w:rsid w:val="009542B4"/>
    <w:rsid w:val="0098162F"/>
    <w:rsid w:val="009A164C"/>
    <w:rsid w:val="009B7615"/>
    <w:rsid w:val="009D0F01"/>
    <w:rsid w:val="00A866E1"/>
    <w:rsid w:val="00AC5514"/>
    <w:rsid w:val="00B00FBE"/>
    <w:rsid w:val="00B26722"/>
    <w:rsid w:val="00B34204"/>
    <w:rsid w:val="00B51BDC"/>
    <w:rsid w:val="00B5395F"/>
    <w:rsid w:val="00B561C0"/>
    <w:rsid w:val="00B773CE"/>
    <w:rsid w:val="00BE0321"/>
    <w:rsid w:val="00C0399F"/>
    <w:rsid w:val="00C20CAF"/>
    <w:rsid w:val="00C50E39"/>
    <w:rsid w:val="00C91823"/>
    <w:rsid w:val="00CB5F21"/>
    <w:rsid w:val="00D008AB"/>
    <w:rsid w:val="00D22A2E"/>
    <w:rsid w:val="00D244B2"/>
    <w:rsid w:val="00D4492E"/>
    <w:rsid w:val="00D86C25"/>
    <w:rsid w:val="00DA6FD6"/>
    <w:rsid w:val="00DB1844"/>
    <w:rsid w:val="00DE0C8B"/>
    <w:rsid w:val="00E65241"/>
    <w:rsid w:val="00E73E09"/>
    <w:rsid w:val="00E752D7"/>
    <w:rsid w:val="00EF7014"/>
    <w:rsid w:val="00FA4BC1"/>
    <w:rsid w:val="00FB553D"/>
    <w:rsid w:val="00FC63F8"/>
    <w:rsid w:val="00FD3206"/>
    <w:rsid w:val="00FE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0C5B"/>
  <w15:chartTrackingRefBased/>
  <w15:docId w15:val="{9F81D0F6-3B68-4343-8E51-DB5A9B53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before="-1" w:beforeAutospacing="1" w:after="-1" w:afterAutospacing="1" w:line="360" w:lineRule="auto"/>
        <w:ind w:left="113"/>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25"/>
    <w:pPr>
      <w:spacing w:before="120" w:beforeAutospacing="0" w:after="240" w:afterAutospacing="0"/>
    </w:pPr>
    <w:rPr>
      <w:rFonts w:ascii="Arial" w:hAnsi="Arial" w:cs="Times New Roman"/>
      <w:sz w:val="24"/>
      <w:szCs w:val="24"/>
    </w:rPr>
  </w:style>
  <w:style w:type="paragraph" w:styleId="Heading1">
    <w:name w:val="heading 1"/>
    <w:basedOn w:val="Normal"/>
    <w:next w:val="Normal"/>
    <w:link w:val="Heading1Char"/>
    <w:autoRedefine/>
    <w:qFormat/>
    <w:rsid w:val="00E73E09"/>
    <w:pPr>
      <w:spacing w:before="480" w:after="120" w:line="240" w:lineRule="auto"/>
      <w:ind w:left="0"/>
      <w:outlineLvl w:val="0"/>
    </w:pPr>
    <w:rPr>
      <w:b/>
      <w:bCs/>
      <w:color w:val="002060"/>
      <w:sz w:val="36"/>
      <w:szCs w:val="36"/>
    </w:rPr>
  </w:style>
  <w:style w:type="paragraph" w:styleId="Heading2">
    <w:name w:val="heading 2"/>
    <w:aliases w:val="Outline2"/>
    <w:basedOn w:val="Normal"/>
    <w:next w:val="Normal"/>
    <w:link w:val="Heading2Char"/>
    <w:qFormat/>
    <w:rsid w:val="00FC63F8"/>
    <w:pPr>
      <w:spacing w:before="240" w:after="0"/>
      <w:ind w:left="473" w:hanging="360"/>
      <w:outlineLvl w:val="1"/>
    </w:pPr>
    <w:rPr>
      <w:kern w:val="24"/>
      <w:sz w:val="36"/>
      <w:szCs w:val="36"/>
    </w:rPr>
  </w:style>
  <w:style w:type="paragraph" w:styleId="Heading3">
    <w:name w:val="heading 3"/>
    <w:aliases w:val="Outline3"/>
    <w:basedOn w:val="Normal"/>
    <w:next w:val="Normal"/>
    <w:link w:val="Heading3Char"/>
    <w:qFormat/>
    <w:rsid w:val="00D86C25"/>
    <w:pPr>
      <w:spacing w:after="0"/>
      <w:ind w:left="0" w:firstLine="113"/>
      <w:outlineLvl w:val="2"/>
    </w:pPr>
    <w:rPr>
      <w:b/>
      <w:kern w:val="24"/>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basedOn w:val="DefaultParagraphFont"/>
    <w:link w:val="Heading1"/>
    <w:rsid w:val="00E73E09"/>
    <w:rPr>
      <w:rFonts w:ascii="Arial" w:hAnsi="Arial" w:cs="Times New Roman"/>
      <w:b/>
      <w:bCs/>
      <w:color w:val="002060"/>
      <w:sz w:val="36"/>
      <w:szCs w:val="36"/>
    </w:rPr>
  </w:style>
  <w:style w:type="character" w:customStyle="1" w:styleId="Heading2Char">
    <w:name w:val="Heading 2 Char"/>
    <w:aliases w:val="Outline2 Char"/>
    <w:basedOn w:val="DefaultParagraphFont"/>
    <w:link w:val="Heading2"/>
    <w:rsid w:val="00FC63F8"/>
    <w:rPr>
      <w:rFonts w:ascii="Arial" w:hAnsi="Arial" w:cs="Times New Roman"/>
      <w:kern w:val="24"/>
      <w:sz w:val="36"/>
      <w:szCs w:val="36"/>
    </w:rPr>
  </w:style>
  <w:style w:type="character" w:customStyle="1" w:styleId="Heading3Char">
    <w:name w:val="Heading 3 Char"/>
    <w:aliases w:val="Outline3 Char"/>
    <w:basedOn w:val="DefaultParagraphFont"/>
    <w:link w:val="Heading3"/>
    <w:rsid w:val="00D86C25"/>
    <w:rPr>
      <w:rFonts w:ascii="Arial" w:hAnsi="Arial" w:cs="Times New Roman"/>
      <w:b/>
      <w:kern w:val="24"/>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Whitetext">
    <w:name w:val="White text"/>
    <w:basedOn w:val="Normal"/>
    <w:link w:val="WhitetextChar"/>
    <w:autoRedefine/>
    <w:qFormat/>
    <w:rsid w:val="00FC63F8"/>
    <w:pPr>
      <w:spacing w:before="0" w:after="0"/>
      <w:ind w:left="720" w:right="-1866"/>
      <w:jc w:val="center"/>
    </w:pPr>
    <w:rPr>
      <w:rFonts w:eastAsia="MS Mincho" w:cstheme="minorBidi"/>
      <w:color w:val="FFFFFF"/>
      <w:kern w:val="24"/>
    </w:rPr>
  </w:style>
  <w:style w:type="character" w:customStyle="1" w:styleId="WhitetextChar">
    <w:name w:val="White text Char"/>
    <w:basedOn w:val="DefaultParagraphFont"/>
    <w:link w:val="Whitetext"/>
    <w:rsid w:val="00FC63F8"/>
    <w:rPr>
      <w:rFonts w:ascii="Arial" w:eastAsia="MS Mincho" w:hAnsi="Arial"/>
      <w:color w:val="FFFFFF"/>
      <w:kern w:val="24"/>
      <w:sz w:val="28"/>
      <w:szCs w:val="28"/>
    </w:rPr>
  </w:style>
  <w:style w:type="table" w:customStyle="1" w:styleId="Style1">
    <w:name w:val="Style1"/>
    <w:basedOn w:val="TableNormal"/>
    <w:uiPriority w:val="99"/>
    <w:rsid w:val="00E752D7"/>
    <w:pPr>
      <w:spacing w:before="0" w:beforeAutospacing="0" w:after="0" w:afterAutospacing="0" w:line="240" w:lineRule="auto"/>
      <w:ind w:left="0"/>
    </w:pPr>
    <w:rPr>
      <w:rFonts w:ascii="Arial" w:eastAsiaTheme="minorHAnsi"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sz w:val="28"/>
      </w:rPr>
      <w:tblPr/>
      <w:tcPr>
        <w:shd w:val="clear" w:color="auto" w:fill="139EB5"/>
      </w:tcPr>
    </w:tblStylePr>
  </w:style>
  <w:style w:type="paragraph" w:customStyle="1" w:styleId="Heading41">
    <w:name w:val="Heading 41"/>
    <w:basedOn w:val="Heading3"/>
    <w:link w:val="heading4Char"/>
    <w:autoRedefine/>
    <w:qFormat/>
    <w:rsid w:val="00FC63F8"/>
    <w:rPr>
      <w:b w:val="0"/>
    </w:rPr>
  </w:style>
  <w:style w:type="character" w:customStyle="1" w:styleId="heading4Char">
    <w:name w:val="heading 4 Char"/>
    <w:basedOn w:val="Heading3Char"/>
    <w:link w:val="Heading41"/>
    <w:rsid w:val="00FC63F8"/>
    <w:rPr>
      <w:rFonts w:ascii="Arial" w:hAnsi="Arial" w:cs="Times New Roman"/>
      <w:b w:val="0"/>
      <w:kern w:val="24"/>
      <w:sz w:val="28"/>
      <w:szCs w:val="28"/>
    </w:rPr>
  </w:style>
  <w:style w:type="paragraph" w:styleId="Title">
    <w:name w:val="Title"/>
    <w:basedOn w:val="Normal"/>
    <w:next w:val="Normal"/>
    <w:link w:val="TitleChar"/>
    <w:uiPriority w:val="10"/>
    <w:qFormat/>
    <w:rsid w:val="00FC63F8"/>
    <w:pPr>
      <w:spacing w:before="0" w:after="0" w:line="240" w:lineRule="auto"/>
      <w:contextualSpacing/>
    </w:pPr>
    <w:rPr>
      <w:rFonts w:ascii="Roboto Light" w:eastAsiaTheme="majorEastAsia" w:hAnsi="Roboto Light" w:cstheme="majorBidi"/>
      <w:spacing w:val="-10"/>
      <w:kern w:val="28"/>
      <w:sz w:val="68"/>
      <w:szCs w:val="68"/>
    </w:rPr>
  </w:style>
  <w:style w:type="character" w:customStyle="1" w:styleId="TitleChar">
    <w:name w:val="Title Char"/>
    <w:basedOn w:val="DefaultParagraphFont"/>
    <w:link w:val="Title"/>
    <w:uiPriority w:val="10"/>
    <w:rsid w:val="00FC63F8"/>
    <w:rPr>
      <w:rFonts w:ascii="Roboto Light" w:eastAsiaTheme="majorEastAsia" w:hAnsi="Roboto Light" w:cstheme="majorBidi"/>
      <w:spacing w:val="-10"/>
      <w:kern w:val="28"/>
      <w:sz w:val="68"/>
      <w:szCs w:val="68"/>
    </w:rPr>
  </w:style>
  <w:style w:type="paragraph" w:styleId="Subtitle">
    <w:name w:val="Subtitle"/>
    <w:basedOn w:val="Normal"/>
    <w:next w:val="Normal"/>
    <w:link w:val="SubtitleChar"/>
    <w:uiPriority w:val="11"/>
    <w:qFormat/>
    <w:rsid w:val="00FC63F8"/>
    <w:pPr>
      <w:numPr>
        <w:ilvl w:val="1"/>
      </w:numPr>
      <w:ind w:left="113"/>
    </w:pPr>
    <w:rPr>
      <w:rFonts w:asciiTheme="minorHAnsi" w:eastAsiaTheme="minorEastAsia" w:hAnsiTheme="minorHAnsi" w:cstheme="minorBidi"/>
      <w:color w:val="288190"/>
      <w:spacing w:val="15"/>
      <w:sz w:val="48"/>
      <w:szCs w:val="48"/>
    </w:rPr>
  </w:style>
  <w:style w:type="character" w:customStyle="1" w:styleId="SubtitleChar">
    <w:name w:val="Subtitle Char"/>
    <w:basedOn w:val="DefaultParagraphFont"/>
    <w:link w:val="Subtitle"/>
    <w:uiPriority w:val="11"/>
    <w:rsid w:val="00FC63F8"/>
    <w:rPr>
      <w:rFonts w:eastAsiaTheme="minorEastAsia"/>
      <w:color w:val="288190"/>
      <w:spacing w:val="15"/>
      <w:sz w:val="48"/>
      <w:szCs w:val="48"/>
    </w:rPr>
  </w:style>
  <w:style w:type="paragraph" w:styleId="ListParagraph">
    <w:name w:val="List Paragraph"/>
    <w:basedOn w:val="Normal"/>
    <w:uiPriority w:val="34"/>
    <w:qFormat/>
    <w:rsid w:val="00367F9C"/>
    <w:pPr>
      <w:numPr>
        <w:numId w:val="9"/>
      </w:numPr>
    </w:pPr>
    <w:rPr>
      <w:rFonts w:eastAsiaTheme="minorEastAsia" w:cstheme="minorBidi"/>
    </w:rPr>
  </w:style>
  <w:style w:type="character" w:styleId="SubtleEmphasis">
    <w:name w:val="Subtle Emphasis"/>
    <w:basedOn w:val="DefaultParagraphFont"/>
    <w:uiPriority w:val="19"/>
    <w:qFormat/>
    <w:rsid w:val="00FC63F8"/>
    <w:rPr>
      <w:i/>
      <w:iCs/>
      <w:color w:val="404040" w:themeColor="text1" w:themeTint="BF"/>
    </w:rPr>
  </w:style>
  <w:style w:type="paragraph" w:customStyle="1" w:styleId="outline40">
    <w:name w:val="outline 4"/>
    <w:basedOn w:val="Normal"/>
    <w:qFormat/>
    <w:rsid w:val="0070042C"/>
    <w:pPr>
      <w:spacing w:before="360" w:after="120" w:line="240" w:lineRule="auto"/>
      <w:ind w:left="0"/>
    </w:pPr>
    <w:rPr>
      <w:b/>
    </w:rPr>
  </w:style>
  <w:style w:type="table" w:styleId="TableGrid">
    <w:name w:val="Table Grid"/>
    <w:basedOn w:val="TableNormal"/>
    <w:uiPriority w:val="39"/>
    <w:rsid w:val="003B67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0146">
      <w:bodyDiv w:val="1"/>
      <w:marLeft w:val="0"/>
      <w:marRight w:val="0"/>
      <w:marTop w:val="0"/>
      <w:marBottom w:val="0"/>
      <w:divBdr>
        <w:top w:val="none" w:sz="0" w:space="0" w:color="auto"/>
        <w:left w:val="none" w:sz="0" w:space="0" w:color="auto"/>
        <w:bottom w:val="none" w:sz="0" w:space="0" w:color="auto"/>
        <w:right w:val="none" w:sz="0" w:space="0" w:color="auto"/>
      </w:divBdr>
      <w:divsChild>
        <w:div w:id="1787505377">
          <w:marLeft w:val="0"/>
          <w:marRight w:val="0"/>
          <w:marTop w:val="0"/>
          <w:marBottom w:val="0"/>
          <w:divBdr>
            <w:top w:val="none" w:sz="0" w:space="0" w:color="auto"/>
            <w:left w:val="none" w:sz="0" w:space="0" w:color="auto"/>
            <w:bottom w:val="none" w:sz="0" w:space="0" w:color="auto"/>
            <w:right w:val="none" w:sz="0" w:space="0" w:color="auto"/>
          </w:divBdr>
        </w:div>
        <w:div w:id="1075710814">
          <w:marLeft w:val="0"/>
          <w:marRight w:val="0"/>
          <w:marTop w:val="300"/>
          <w:marBottom w:val="0"/>
          <w:divBdr>
            <w:top w:val="none" w:sz="0" w:space="0" w:color="auto"/>
            <w:left w:val="none" w:sz="0" w:space="0" w:color="auto"/>
            <w:bottom w:val="none" w:sz="0" w:space="0" w:color="auto"/>
            <w:right w:val="none" w:sz="0" w:space="0" w:color="auto"/>
          </w:divBdr>
          <w:divsChild>
            <w:div w:id="923339530">
              <w:marLeft w:val="0"/>
              <w:marRight w:val="0"/>
              <w:marTop w:val="0"/>
              <w:marBottom w:val="0"/>
              <w:divBdr>
                <w:top w:val="single" w:sz="6" w:space="0" w:color="E6E6E6"/>
                <w:left w:val="none" w:sz="0" w:space="0" w:color="auto"/>
                <w:bottom w:val="none" w:sz="0" w:space="0" w:color="auto"/>
                <w:right w:val="none" w:sz="0" w:space="0" w:color="auto"/>
              </w:divBdr>
              <w:divsChild>
                <w:div w:id="312486349">
                  <w:marLeft w:val="0"/>
                  <w:marRight w:val="0"/>
                  <w:marTop w:val="0"/>
                  <w:marBottom w:val="0"/>
                  <w:divBdr>
                    <w:top w:val="none" w:sz="0" w:space="0" w:color="auto"/>
                    <w:left w:val="none" w:sz="0" w:space="0" w:color="auto"/>
                    <w:bottom w:val="none" w:sz="0" w:space="0" w:color="auto"/>
                    <w:right w:val="none" w:sz="0" w:space="0" w:color="auto"/>
                  </w:divBdr>
                </w:div>
              </w:divsChild>
            </w:div>
            <w:div w:id="464978169">
              <w:marLeft w:val="0"/>
              <w:marRight w:val="0"/>
              <w:marTop w:val="0"/>
              <w:marBottom w:val="0"/>
              <w:divBdr>
                <w:top w:val="none" w:sz="0" w:space="0" w:color="auto"/>
                <w:left w:val="none" w:sz="0" w:space="0" w:color="auto"/>
                <w:bottom w:val="none" w:sz="0" w:space="0" w:color="auto"/>
                <w:right w:val="none" w:sz="0" w:space="0" w:color="auto"/>
              </w:divBdr>
              <w:divsChild>
                <w:div w:id="9379653">
                  <w:marLeft w:val="0"/>
                  <w:marRight w:val="0"/>
                  <w:marTop w:val="0"/>
                  <w:marBottom w:val="0"/>
                  <w:divBdr>
                    <w:top w:val="none" w:sz="0" w:space="0" w:color="auto"/>
                    <w:left w:val="none" w:sz="0" w:space="0" w:color="auto"/>
                    <w:bottom w:val="none" w:sz="0" w:space="0" w:color="auto"/>
                    <w:right w:val="none" w:sz="0" w:space="0" w:color="auto"/>
                  </w:divBdr>
                </w:div>
              </w:divsChild>
            </w:div>
            <w:div w:id="1083841020">
              <w:marLeft w:val="0"/>
              <w:marRight w:val="0"/>
              <w:marTop w:val="0"/>
              <w:marBottom w:val="0"/>
              <w:divBdr>
                <w:top w:val="none" w:sz="0" w:space="0" w:color="auto"/>
                <w:left w:val="none" w:sz="0" w:space="0" w:color="auto"/>
                <w:bottom w:val="none" w:sz="0" w:space="0" w:color="auto"/>
                <w:right w:val="none" w:sz="0" w:space="0" w:color="auto"/>
              </w:divBdr>
              <w:divsChild>
                <w:div w:id="389157864">
                  <w:marLeft w:val="0"/>
                  <w:marRight w:val="0"/>
                  <w:marTop w:val="0"/>
                  <w:marBottom w:val="0"/>
                  <w:divBdr>
                    <w:top w:val="none" w:sz="0" w:space="0" w:color="auto"/>
                    <w:left w:val="none" w:sz="0" w:space="0" w:color="auto"/>
                    <w:bottom w:val="none" w:sz="0" w:space="0" w:color="auto"/>
                    <w:right w:val="none" w:sz="0" w:space="0" w:color="auto"/>
                  </w:divBdr>
                </w:div>
              </w:divsChild>
            </w:div>
            <w:div w:id="1849056050">
              <w:marLeft w:val="0"/>
              <w:marRight w:val="0"/>
              <w:marTop w:val="0"/>
              <w:marBottom w:val="0"/>
              <w:divBdr>
                <w:top w:val="none" w:sz="0" w:space="0" w:color="auto"/>
                <w:left w:val="none" w:sz="0" w:space="0" w:color="auto"/>
                <w:bottom w:val="none" w:sz="0" w:space="0" w:color="auto"/>
                <w:right w:val="none" w:sz="0" w:space="0" w:color="auto"/>
              </w:divBdr>
              <w:divsChild>
                <w:div w:id="1674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9386">
      <w:bodyDiv w:val="1"/>
      <w:marLeft w:val="0"/>
      <w:marRight w:val="0"/>
      <w:marTop w:val="0"/>
      <w:marBottom w:val="0"/>
      <w:divBdr>
        <w:top w:val="none" w:sz="0" w:space="0" w:color="auto"/>
        <w:left w:val="none" w:sz="0" w:space="0" w:color="auto"/>
        <w:bottom w:val="none" w:sz="0" w:space="0" w:color="auto"/>
        <w:right w:val="none" w:sz="0" w:space="0" w:color="auto"/>
      </w:divBdr>
      <w:divsChild>
        <w:div w:id="6756317">
          <w:marLeft w:val="0"/>
          <w:marRight w:val="0"/>
          <w:marTop w:val="0"/>
          <w:marBottom w:val="0"/>
          <w:divBdr>
            <w:top w:val="none" w:sz="0" w:space="0" w:color="auto"/>
            <w:left w:val="none" w:sz="0" w:space="0" w:color="auto"/>
            <w:bottom w:val="none" w:sz="0" w:space="0" w:color="auto"/>
            <w:right w:val="none" w:sz="0" w:space="0" w:color="auto"/>
          </w:divBdr>
        </w:div>
        <w:div w:id="820075254">
          <w:marLeft w:val="0"/>
          <w:marRight w:val="0"/>
          <w:marTop w:val="300"/>
          <w:marBottom w:val="0"/>
          <w:divBdr>
            <w:top w:val="none" w:sz="0" w:space="0" w:color="auto"/>
            <w:left w:val="none" w:sz="0" w:space="0" w:color="auto"/>
            <w:bottom w:val="none" w:sz="0" w:space="0" w:color="auto"/>
            <w:right w:val="none" w:sz="0" w:space="0" w:color="auto"/>
          </w:divBdr>
          <w:divsChild>
            <w:div w:id="506529465">
              <w:marLeft w:val="0"/>
              <w:marRight w:val="0"/>
              <w:marTop w:val="0"/>
              <w:marBottom w:val="0"/>
              <w:divBdr>
                <w:top w:val="single" w:sz="6" w:space="0" w:color="E6E6E6"/>
                <w:left w:val="none" w:sz="0" w:space="0" w:color="auto"/>
                <w:bottom w:val="none" w:sz="0" w:space="0" w:color="auto"/>
                <w:right w:val="none" w:sz="0" w:space="0" w:color="auto"/>
              </w:divBdr>
              <w:divsChild>
                <w:div w:id="411975789">
                  <w:marLeft w:val="0"/>
                  <w:marRight w:val="0"/>
                  <w:marTop w:val="0"/>
                  <w:marBottom w:val="0"/>
                  <w:divBdr>
                    <w:top w:val="none" w:sz="0" w:space="0" w:color="auto"/>
                    <w:left w:val="none" w:sz="0" w:space="0" w:color="auto"/>
                    <w:bottom w:val="none" w:sz="0" w:space="0" w:color="auto"/>
                    <w:right w:val="none" w:sz="0" w:space="0" w:color="auto"/>
                  </w:divBdr>
                </w:div>
              </w:divsChild>
            </w:div>
            <w:div w:id="2131897701">
              <w:marLeft w:val="0"/>
              <w:marRight w:val="0"/>
              <w:marTop w:val="0"/>
              <w:marBottom w:val="0"/>
              <w:divBdr>
                <w:top w:val="none" w:sz="0" w:space="0" w:color="auto"/>
                <w:left w:val="none" w:sz="0" w:space="0" w:color="auto"/>
                <w:bottom w:val="none" w:sz="0" w:space="0" w:color="auto"/>
                <w:right w:val="none" w:sz="0" w:space="0" w:color="auto"/>
              </w:divBdr>
              <w:divsChild>
                <w:div w:id="1804537643">
                  <w:marLeft w:val="0"/>
                  <w:marRight w:val="0"/>
                  <w:marTop w:val="0"/>
                  <w:marBottom w:val="0"/>
                  <w:divBdr>
                    <w:top w:val="none" w:sz="0" w:space="0" w:color="auto"/>
                    <w:left w:val="none" w:sz="0" w:space="0" w:color="auto"/>
                    <w:bottom w:val="none" w:sz="0" w:space="0" w:color="auto"/>
                    <w:right w:val="none" w:sz="0" w:space="0" w:color="auto"/>
                  </w:divBdr>
                </w:div>
              </w:divsChild>
            </w:div>
            <w:div w:id="857306652">
              <w:marLeft w:val="0"/>
              <w:marRight w:val="0"/>
              <w:marTop w:val="0"/>
              <w:marBottom w:val="0"/>
              <w:divBdr>
                <w:top w:val="none" w:sz="0" w:space="0" w:color="auto"/>
                <w:left w:val="none" w:sz="0" w:space="0" w:color="auto"/>
                <w:bottom w:val="none" w:sz="0" w:space="0" w:color="auto"/>
                <w:right w:val="none" w:sz="0" w:space="0" w:color="auto"/>
              </w:divBdr>
              <w:divsChild>
                <w:div w:id="920680401">
                  <w:marLeft w:val="0"/>
                  <w:marRight w:val="0"/>
                  <w:marTop w:val="0"/>
                  <w:marBottom w:val="0"/>
                  <w:divBdr>
                    <w:top w:val="none" w:sz="0" w:space="0" w:color="auto"/>
                    <w:left w:val="none" w:sz="0" w:space="0" w:color="auto"/>
                    <w:bottom w:val="none" w:sz="0" w:space="0" w:color="auto"/>
                    <w:right w:val="none" w:sz="0" w:space="0" w:color="auto"/>
                  </w:divBdr>
                </w:div>
              </w:divsChild>
            </w:div>
            <w:div w:id="1105350356">
              <w:marLeft w:val="0"/>
              <w:marRight w:val="0"/>
              <w:marTop w:val="0"/>
              <w:marBottom w:val="0"/>
              <w:divBdr>
                <w:top w:val="none" w:sz="0" w:space="0" w:color="auto"/>
                <w:left w:val="none" w:sz="0" w:space="0" w:color="auto"/>
                <w:bottom w:val="none" w:sz="0" w:space="0" w:color="auto"/>
                <w:right w:val="none" w:sz="0" w:space="0" w:color="auto"/>
              </w:divBdr>
              <w:divsChild>
                <w:div w:id="12952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Constable</dc:creator>
  <cp:keywords/>
  <dc:description/>
  <cp:lastModifiedBy>Rebekah Constable</cp:lastModifiedBy>
  <cp:revision>30</cp:revision>
  <dcterms:created xsi:type="dcterms:W3CDTF">2024-12-02T17:53:00Z</dcterms:created>
  <dcterms:modified xsi:type="dcterms:W3CDTF">2024-12-02T18:35:00Z</dcterms:modified>
</cp:coreProperties>
</file>