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F1C9A" w14:textId="77777777" w:rsidR="00B8229D" w:rsidRPr="00F3406B" w:rsidRDefault="00B8229D" w:rsidP="00B8229D">
      <w:pPr>
        <w:jc w:val="center"/>
        <w:rPr>
          <w:b/>
          <w:bCs/>
          <w:color w:val="5B9AD5"/>
          <w:sz w:val="36"/>
          <w:szCs w:val="36"/>
        </w:rPr>
      </w:pPr>
      <w:r w:rsidRPr="00F3406B">
        <w:rPr>
          <w:b/>
          <w:bCs/>
          <w:color w:val="5B9AD5"/>
          <w:sz w:val="36"/>
          <w:szCs w:val="36"/>
        </w:rPr>
        <w:t>Effective School Improvement Planning 2022-2023</w:t>
      </w:r>
    </w:p>
    <w:p w14:paraId="13490E40" w14:textId="77777777" w:rsidR="00B8229D" w:rsidRDefault="00B8229D" w:rsidP="00B8229D">
      <w:pPr>
        <w:tabs>
          <w:tab w:val="left" w:pos="720"/>
          <w:tab w:val="left" w:pos="1440"/>
          <w:tab w:val="left" w:pos="2160"/>
          <w:tab w:val="left" w:pos="2880"/>
          <w:tab w:val="right" w:pos="9907"/>
        </w:tabs>
        <w:rPr>
          <w:lang w:eastAsia="en-GB"/>
        </w:rPr>
      </w:pPr>
    </w:p>
    <w:p w14:paraId="74B4599B" w14:textId="77777777" w:rsidR="00E91CBF" w:rsidRPr="00B8229D" w:rsidRDefault="00B8229D" w:rsidP="00B8229D">
      <w:pPr>
        <w:tabs>
          <w:tab w:val="left" w:pos="720"/>
          <w:tab w:val="left" w:pos="1440"/>
          <w:tab w:val="left" w:pos="2160"/>
          <w:tab w:val="left" w:pos="2880"/>
          <w:tab w:val="right" w:pos="9907"/>
        </w:tabs>
        <w:rPr>
          <w:rFonts w:eastAsia="Arial" w:cs="Arial"/>
          <w:b/>
          <w:bCs/>
          <w:color w:val="5B9AD5"/>
        </w:rPr>
      </w:pPr>
      <w:r>
        <w:rPr>
          <w:rFonts w:eastAsia="Arial" w:cs="Arial"/>
          <w:b/>
          <w:bCs/>
          <w:color w:val="5B9AD5"/>
        </w:rPr>
        <w:t xml:space="preserve">Purpose </w:t>
      </w:r>
    </w:p>
    <w:p w14:paraId="45DE7D87" w14:textId="77777777" w:rsidR="00B8229D" w:rsidRDefault="00B8229D" w:rsidP="00B8229D">
      <w:pPr>
        <w:tabs>
          <w:tab w:val="left" w:pos="720"/>
          <w:tab w:val="left" w:pos="1440"/>
          <w:tab w:val="left" w:pos="2160"/>
          <w:tab w:val="left" w:pos="2880"/>
          <w:tab w:val="right" w:pos="9907"/>
        </w:tabs>
      </w:pPr>
      <w:r w:rsidRPr="7BFEBB7C">
        <w:rPr>
          <w:lang w:eastAsia="en-GB"/>
        </w:rPr>
        <w:t>The purpose of this guidance is to share key features of effective practice in school</w:t>
      </w:r>
      <w:r>
        <w:rPr>
          <w:rStyle w:val="FootnoteReference"/>
          <w:lang w:eastAsia="en-GB"/>
        </w:rPr>
        <w:footnoteReference w:id="1"/>
      </w:r>
      <w:r w:rsidRPr="7BFEBB7C">
        <w:rPr>
          <w:lang w:eastAsia="en-GB"/>
        </w:rPr>
        <w:t xml:space="preserve">  improvement planning, taking account of </w:t>
      </w:r>
      <w:hyperlink r:id="rId7">
        <w:r w:rsidRPr="7BFEBB7C">
          <w:rPr>
            <w:rStyle w:val="Hyperlink"/>
          </w:rPr>
          <w:t>Standards in Scotland's Schools etc. Act 2000 statutory guidance</w:t>
        </w:r>
      </w:hyperlink>
      <w:r>
        <w:t xml:space="preserve">.  </w:t>
      </w:r>
    </w:p>
    <w:p w14:paraId="03828561" w14:textId="77777777" w:rsidR="00B8229D" w:rsidRDefault="00B8229D" w:rsidP="00B8229D">
      <w:pPr>
        <w:tabs>
          <w:tab w:val="left" w:pos="720"/>
          <w:tab w:val="left" w:pos="1440"/>
          <w:tab w:val="left" w:pos="2160"/>
          <w:tab w:val="left" w:pos="2880"/>
          <w:tab w:val="right" w:pos="9907"/>
        </w:tabs>
        <w:rPr>
          <w:rStyle w:val="normaltextrun"/>
          <w:rFonts w:cs="Arial"/>
          <w:color w:val="000000"/>
          <w:shd w:val="clear" w:color="auto" w:fill="FFFFFF"/>
        </w:rPr>
      </w:pPr>
    </w:p>
    <w:p w14:paraId="41438BD7" w14:textId="77777777" w:rsidR="00B8229D" w:rsidRDefault="00B8229D" w:rsidP="009B726A">
      <w:pPr>
        <w:tabs>
          <w:tab w:val="left" w:pos="720"/>
          <w:tab w:val="left" w:pos="1440"/>
          <w:tab w:val="left" w:pos="2160"/>
          <w:tab w:val="left" w:pos="2880"/>
          <w:tab w:val="right" w:pos="9907"/>
          <w:tab w:val="right" w:pos="10170"/>
        </w:tabs>
      </w:pPr>
      <w:r>
        <w:rPr>
          <w:rStyle w:val="normaltextrun"/>
          <w:rFonts w:cs="Arial"/>
          <w:color w:val="000000"/>
          <w:shd w:val="clear" w:color="auto" w:fill="FFFFFF"/>
        </w:rPr>
        <w:t xml:space="preserve">This guidance also considers potential drivers for improvement planning in session 2022-23. Links are provided to </w:t>
      </w:r>
      <w:r w:rsidRPr="7150C1E8">
        <w:rPr>
          <w:rFonts w:cs="Arial"/>
        </w:rPr>
        <w:t xml:space="preserve">publications </w:t>
      </w:r>
      <w:r>
        <w:rPr>
          <w:rFonts w:cs="Arial"/>
        </w:rPr>
        <w:t xml:space="preserve">which </w:t>
      </w:r>
      <w:r w:rsidRPr="7150C1E8">
        <w:rPr>
          <w:rFonts w:cs="Arial"/>
        </w:rPr>
        <w:t>may be helpful points of reference in framing improvement priorities for 2022-23</w:t>
      </w:r>
      <w:r>
        <w:rPr>
          <w:rFonts w:cs="Arial"/>
        </w:rPr>
        <w:t>.</w:t>
      </w:r>
    </w:p>
    <w:p w14:paraId="57589A62" w14:textId="77777777" w:rsidR="00B8229D" w:rsidRDefault="00B8229D" w:rsidP="00B8229D">
      <w:pPr>
        <w:rPr>
          <w:rFonts w:eastAsia="Arial" w:cs="Arial"/>
          <w:b/>
          <w:bCs/>
          <w:color w:val="5B9BD5" w:themeColor="accent1"/>
          <w:szCs w:val="24"/>
        </w:rPr>
      </w:pPr>
    </w:p>
    <w:tbl>
      <w:tblPr>
        <w:tblStyle w:val="TableGrid"/>
        <w:tblW w:w="0" w:type="auto"/>
        <w:tblLook w:val="04A0" w:firstRow="1" w:lastRow="0" w:firstColumn="1" w:lastColumn="0" w:noHBand="0" w:noVBand="1"/>
      </w:tblPr>
      <w:tblGrid>
        <w:gridCol w:w="4508"/>
        <w:gridCol w:w="4508"/>
      </w:tblGrid>
      <w:tr w:rsidR="00B8229D" w14:paraId="54C11D6F" w14:textId="77777777" w:rsidTr="001555FA">
        <w:tc>
          <w:tcPr>
            <w:tcW w:w="4508" w:type="dxa"/>
          </w:tcPr>
          <w:p w14:paraId="7D27954A" w14:textId="77777777" w:rsidR="00B8229D" w:rsidRDefault="00B8229D" w:rsidP="001555FA">
            <w:pPr>
              <w:jc w:val="center"/>
              <w:rPr>
                <w:b/>
                <w:color w:val="5B9BD5" w:themeColor="accent1"/>
                <w:szCs w:val="24"/>
              </w:rPr>
            </w:pPr>
            <w:r>
              <w:rPr>
                <w:b/>
                <w:color w:val="5B9BD5" w:themeColor="accent1"/>
                <w:szCs w:val="24"/>
              </w:rPr>
              <w:t>Key feature 1</w:t>
            </w:r>
          </w:p>
          <w:p w14:paraId="7297231A" w14:textId="77777777" w:rsidR="00B8229D" w:rsidRDefault="00B8229D" w:rsidP="001555FA">
            <w:pPr>
              <w:jc w:val="center"/>
              <w:rPr>
                <w:rFonts w:eastAsia="Arial" w:cs="Arial"/>
                <w:b/>
                <w:bCs/>
                <w:color w:val="5B9BD5" w:themeColor="accent1"/>
                <w:szCs w:val="24"/>
              </w:rPr>
            </w:pPr>
            <w:r w:rsidRPr="7BFEBB7C">
              <w:rPr>
                <w:b/>
                <w:bCs/>
                <w:color w:val="5B9AD5"/>
              </w:rPr>
              <w:t>Shared understanding of local context</w:t>
            </w:r>
          </w:p>
        </w:tc>
        <w:tc>
          <w:tcPr>
            <w:tcW w:w="4508" w:type="dxa"/>
          </w:tcPr>
          <w:p w14:paraId="2B2A99F4" w14:textId="77777777" w:rsidR="00B8229D" w:rsidRDefault="00B8229D" w:rsidP="001555FA">
            <w:pPr>
              <w:jc w:val="center"/>
              <w:rPr>
                <w:b/>
                <w:color w:val="5B9BD5" w:themeColor="accent1"/>
                <w:szCs w:val="24"/>
              </w:rPr>
            </w:pPr>
            <w:r w:rsidRPr="00097231">
              <w:rPr>
                <w:b/>
                <w:color w:val="5B9BD5" w:themeColor="accent1"/>
                <w:szCs w:val="24"/>
              </w:rPr>
              <w:t>Key feature 2</w:t>
            </w:r>
          </w:p>
          <w:p w14:paraId="1C60E2B6" w14:textId="77777777" w:rsidR="00E91CBF" w:rsidRDefault="00B8229D" w:rsidP="00B8229D">
            <w:pPr>
              <w:jc w:val="center"/>
              <w:rPr>
                <w:b/>
                <w:color w:val="5B9BD5" w:themeColor="accent1"/>
                <w:szCs w:val="24"/>
              </w:rPr>
            </w:pPr>
            <w:r w:rsidRPr="00097231">
              <w:rPr>
                <w:b/>
                <w:color w:val="5B9BD5" w:themeColor="accent1"/>
                <w:szCs w:val="24"/>
              </w:rPr>
              <w:t xml:space="preserve">Effective, collaborative </w:t>
            </w:r>
          </w:p>
          <w:p w14:paraId="4BE61504" w14:textId="77777777" w:rsidR="00B8229D" w:rsidRPr="00B8229D" w:rsidRDefault="00B8229D" w:rsidP="00B8229D">
            <w:pPr>
              <w:jc w:val="center"/>
              <w:rPr>
                <w:b/>
                <w:color w:val="5B9BD5" w:themeColor="accent1"/>
                <w:szCs w:val="24"/>
              </w:rPr>
            </w:pPr>
            <w:r w:rsidRPr="00097231">
              <w:rPr>
                <w:b/>
                <w:color w:val="5B9BD5" w:themeColor="accent1"/>
                <w:szCs w:val="24"/>
              </w:rPr>
              <w:t>self-evaluation</w:t>
            </w:r>
          </w:p>
        </w:tc>
      </w:tr>
      <w:tr w:rsidR="00B8229D" w14:paraId="3B4A6EF0" w14:textId="77777777" w:rsidTr="001555FA">
        <w:tc>
          <w:tcPr>
            <w:tcW w:w="4508" w:type="dxa"/>
          </w:tcPr>
          <w:p w14:paraId="0F930325" w14:textId="77777777" w:rsidR="00B8229D" w:rsidRDefault="00B8229D" w:rsidP="00B8229D">
            <w:pPr>
              <w:pStyle w:val="ListParagraph"/>
              <w:numPr>
                <w:ilvl w:val="0"/>
                <w:numId w:val="11"/>
              </w:numPr>
              <w:tabs>
                <w:tab w:val="left" w:pos="284"/>
                <w:tab w:val="left" w:pos="1440"/>
                <w:tab w:val="left" w:pos="2160"/>
                <w:tab w:val="left" w:pos="2880"/>
                <w:tab w:val="left" w:pos="4680"/>
                <w:tab w:val="left" w:pos="5400"/>
                <w:tab w:val="right" w:pos="9000"/>
              </w:tabs>
              <w:spacing w:line="240" w:lineRule="atLeast"/>
            </w:pPr>
            <w:r>
              <w:t>All stakeholders have a common understanding of strengths, needs and local challenges. They are responsive to</w:t>
            </w:r>
            <w:r w:rsidR="009D7DFA">
              <w:t>,</w:t>
            </w:r>
            <w:r>
              <w:t xml:space="preserve"> and actively involved in</w:t>
            </w:r>
            <w:r w:rsidR="009D7DFA">
              <w:t>,</w:t>
            </w:r>
            <w:r>
              <w:t xml:space="preserve"> bringing about any necessary changes.</w:t>
            </w:r>
          </w:p>
          <w:p w14:paraId="15EC516D" w14:textId="77777777" w:rsidR="00B8229D" w:rsidRDefault="00B8229D" w:rsidP="00B8229D">
            <w:pPr>
              <w:pStyle w:val="ListParagraph"/>
              <w:numPr>
                <w:ilvl w:val="0"/>
                <w:numId w:val="11"/>
              </w:numPr>
              <w:tabs>
                <w:tab w:val="left" w:pos="284"/>
                <w:tab w:val="left" w:pos="1440"/>
                <w:tab w:val="left" w:pos="2160"/>
                <w:tab w:val="left" w:pos="2880"/>
                <w:tab w:val="left" w:pos="4680"/>
                <w:tab w:val="left" w:pos="5400"/>
                <w:tab w:val="right" w:pos="9000"/>
              </w:tabs>
              <w:spacing w:line="240" w:lineRule="atLeast"/>
            </w:pPr>
            <w:r>
              <w:t>All stakeholders have</w:t>
            </w:r>
            <w:r w:rsidR="00E91CBF">
              <w:t xml:space="preserve"> a</w:t>
            </w:r>
            <w:r>
              <w:t xml:space="preserve"> clear understanding of their roles and responsibilities in relation to establishment improvement priorities. </w:t>
            </w:r>
          </w:p>
          <w:p w14:paraId="25FC71CE" w14:textId="77777777" w:rsidR="00E91CBF" w:rsidRDefault="00B8229D" w:rsidP="00B8229D">
            <w:pPr>
              <w:pStyle w:val="ListParagraph"/>
              <w:numPr>
                <w:ilvl w:val="0"/>
                <w:numId w:val="11"/>
              </w:numPr>
              <w:tabs>
                <w:tab w:val="left" w:pos="284"/>
                <w:tab w:val="left" w:pos="1440"/>
                <w:tab w:val="left" w:pos="2160"/>
                <w:tab w:val="left" w:pos="2880"/>
                <w:tab w:val="left" w:pos="4680"/>
                <w:tab w:val="left" w:pos="5400"/>
                <w:tab w:val="right" w:pos="9000"/>
              </w:tabs>
              <w:spacing w:line="240" w:lineRule="atLeast"/>
            </w:pPr>
            <w:r>
              <w:t>A wide range of relevant data and information</w:t>
            </w:r>
            <w:r w:rsidR="009D7DFA">
              <w:t>,</w:t>
            </w:r>
            <w:r>
              <w:t xml:space="preserve"> </w:t>
            </w:r>
            <w:r w:rsidRPr="00B8229D">
              <w:rPr>
                <w:b/>
              </w:rPr>
              <w:t>including learners’ views</w:t>
            </w:r>
            <w:r w:rsidR="009D7DFA">
              <w:rPr>
                <w:b/>
              </w:rPr>
              <w:t>,</w:t>
            </w:r>
            <w:r>
              <w:t xml:space="preserve"> is used to accurately identify need and areas of improvement.</w:t>
            </w:r>
          </w:p>
          <w:p w14:paraId="60A6AFF2" w14:textId="77777777" w:rsidR="00B8229D" w:rsidRDefault="00B8229D" w:rsidP="00B8229D">
            <w:pPr>
              <w:pStyle w:val="ListParagraph"/>
              <w:numPr>
                <w:ilvl w:val="0"/>
                <w:numId w:val="11"/>
              </w:numPr>
              <w:tabs>
                <w:tab w:val="left" w:pos="284"/>
                <w:tab w:val="left" w:pos="1440"/>
                <w:tab w:val="left" w:pos="2160"/>
                <w:tab w:val="left" w:pos="2880"/>
                <w:tab w:val="left" w:pos="4680"/>
                <w:tab w:val="left" w:pos="5400"/>
                <w:tab w:val="right" w:pos="9000"/>
              </w:tabs>
              <w:spacing w:line="240" w:lineRule="atLeast"/>
            </w:pPr>
            <w:r>
              <w:t xml:space="preserve">Actions take account of local improvement priorities alongside those in the National Improvement Framework (NIF).  </w:t>
            </w:r>
          </w:p>
          <w:p w14:paraId="75B8B505" w14:textId="77777777" w:rsidR="00B8229D" w:rsidRDefault="00B8229D" w:rsidP="00B8229D">
            <w:pPr>
              <w:pStyle w:val="ListParagraph"/>
              <w:numPr>
                <w:ilvl w:val="0"/>
                <w:numId w:val="11"/>
              </w:numPr>
              <w:tabs>
                <w:tab w:val="left" w:pos="284"/>
                <w:tab w:val="left" w:pos="1440"/>
                <w:tab w:val="left" w:pos="2160"/>
                <w:tab w:val="left" w:pos="2880"/>
                <w:tab w:val="left" w:pos="4680"/>
                <w:tab w:val="left" w:pos="5400"/>
                <w:tab w:val="right" w:pos="9000"/>
              </w:tabs>
              <w:spacing w:line="240" w:lineRule="atLeast"/>
            </w:pPr>
            <w:r>
              <w:t xml:space="preserve">Progress achieved, and priorities to be addressed, are communicated clearly. </w:t>
            </w:r>
          </w:p>
          <w:p w14:paraId="4A05866A" w14:textId="77777777" w:rsidR="00B8229D" w:rsidRDefault="00B8229D" w:rsidP="00B8229D">
            <w:pPr>
              <w:pStyle w:val="ListParagraph"/>
              <w:numPr>
                <w:ilvl w:val="0"/>
                <w:numId w:val="11"/>
              </w:numPr>
              <w:tabs>
                <w:tab w:val="left" w:pos="284"/>
                <w:tab w:val="left" w:pos="1440"/>
                <w:tab w:val="left" w:pos="2160"/>
                <w:tab w:val="left" w:pos="2880"/>
                <w:tab w:val="left" w:pos="4680"/>
                <w:tab w:val="left" w:pos="5400"/>
                <w:tab w:val="right" w:pos="9000"/>
              </w:tabs>
              <w:spacing w:line="240" w:lineRule="atLeast"/>
            </w:pPr>
            <w:r>
              <w:t>Identified priorities take into account collegiate working time agreements, and avoid unnecessary bureaucracy.</w:t>
            </w:r>
          </w:p>
          <w:p w14:paraId="51026540" w14:textId="77777777" w:rsidR="00B8229D" w:rsidRPr="00F3406B" w:rsidRDefault="00B8229D" w:rsidP="00B8229D">
            <w:pPr>
              <w:pStyle w:val="ListParagraph"/>
              <w:numPr>
                <w:ilvl w:val="0"/>
                <w:numId w:val="11"/>
              </w:numPr>
              <w:tabs>
                <w:tab w:val="left" w:pos="284"/>
                <w:tab w:val="left" w:pos="1440"/>
                <w:tab w:val="left" w:pos="2160"/>
                <w:tab w:val="left" w:pos="2880"/>
                <w:tab w:val="left" w:pos="4680"/>
                <w:tab w:val="left" w:pos="5400"/>
                <w:tab w:val="right" w:pos="9000"/>
              </w:tabs>
              <w:spacing w:line="240" w:lineRule="atLeast"/>
            </w:pPr>
            <w:r>
              <w:t>Professional learning focuses on the successful delivery of improvement priorities, including those associated with the NIF.</w:t>
            </w:r>
          </w:p>
        </w:tc>
        <w:tc>
          <w:tcPr>
            <w:tcW w:w="4508" w:type="dxa"/>
          </w:tcPr>
          <w:p w14:paraId="63F332CC" w14:textId="77777777" w:rsidR="00B8229D" w:rsidRPr="00B8229D" w:rsidRDefault="00B8229D" w:rsidP="00B8229D">
            <w:pPr>
              <w:pStyle w:val="ListParagraph"/>
              <w:numPr>
                <w:ilvl w:val="0"/>
                <w:numId w:val="3"/>
              </w:numPr>
              <w:tabs>
                <w:tab w:val="left" w:pos="284"/>
                <w:tab w:val="left" w:pos="1440"/>
                <w:tab w:val="left" w:pos="2160"/>
                <w:tab w:val="left" w:pos="2880"/>
                <w:tab w:val="left" w:pos="4680"/>
                <w:tab w:val="left" w:pos="5400"/>
                <w:tab w:val="right" w:pos="9000"/>
              </w:tabs>
              <w:spacing w:after="40" w:line="240" w:lineRule="atLeast"/>
            </w:pPr>
            <w:r>
              <w:t xml:space="preserve">Self-evaluation is accurate, rigorous and robust </w:t>
            </w:r>
            <w:r w:rsidRPr="00B8229D">
              <w:rPr>
                <w:szCs w:val="24"/>
              </w:rPr>
              <w:t>based on reliable and comprehensive data and information.</w:t>
            </w:r>
          </w:p>
          <w:p w14:paraId="03F0A131" w14:textId="77777777" w:rsidR="00B8229D" w:rsidRDefault="00B8229D" w:rsidP="00B8229D">
            <w:pPr>
              <w:pStyle w:val="ListParagraph"/>
              <w:numPr>
                <w:ilvl w:val="0"/>
                <w:numId w:val="3"/>
              </w:numPr>
              <w:tabs>
                <w:tab w:val="left" w:pos="284"/>
                <w:tab w:val="left" w:pos="1440"/>
                <w:tab w:val="left" w:pos="2160"/>
                <w:tab w:val="left" w:pos="2880"/>
                <w:tab w:val="left" w:pos="4680"/>
                <w:tab w:val="left" w:pos="5400"/>
                <w:tab w:val="right" w:pos="9000"/>
              </w:tabs>
              <w:spacing w:after="40" w:line="240" w:lineRule="atLeast"/>
            </w:pPr>
            <w:r>
              <w:t>Collaboration with all stakeholders</w:t>
            </w:r>
            <w:r w:rsidR="009D7DFA">
              <w:t>,</w:t>
            </w:r>
            <w:r>
              <w:t xml:space="preserve"> </w:t>
            </w:r>
            <w:r w:rsidRPr="00B8229D">
              <w:rPr>
                <w:b/>
              </w:rPr>
              <w:t>especially learners</w:t>
            </w:r>
            <w:r w:rsidR="009D7DFA">
              <w:rPr>
                <w:b/>
              </w:rPr>
              <w:t>,</w:t>
            </w:r>
            <w:r>
              <w:t xml:space="preserve"> is important to inform self-evaluation and identification of priorities.</w:t>
            </w:r>
          </w:p>
          <w:p w14:paraId="4164898D" w14:textId="77777777" w:rsidR="00B8229D" w:rsidRDefault="00B8229D" w:rsidP="00B8229D">
            <w:pPr>
              <w:pStyle w:val="ListParagraph"/>
              <w:numPr>
                <w:ilvl w:val="0"/>
                <w:numId w:val="3"/>
              </w:numPr>
              <w:tabs>
                <w:tab w:val="left" w:pos="284"/>
                <w:tab w:val="left" w:pos="1440"/>
                <w:tab w:val="left" w:pos="2160"/>
                <w:tab w:val="left" w:pos="2880"/>
                <w:tab w:val="left" w:pos="4680"/>
                <w:tab w:val="left" w:pos="5400"/>
                <w:tab w:val="right" w:pos="9000"/>
              </w:tabs>
              <w:spacing w:after="40" w:line="240" w:lineRule="atLeast"/>
            </w:pPr>
            <w:r w:rsidRPr="00BD539F">
              <w:t>Approaches to deliver i</w:t>
            </w:r>
            <w:r>
              <w:t xml:space="preserve">dentified priorities, including </w:t>
            </w:r>
            <w:r w:rsidRPr="00BD539F">
              <w:t>outcomes</w:t>
            </w:r>
            <w:r w:rsidR="009D7DFA">
              <w:t>,</w:t>
            </w:r>
            <w:r w:rsidRPr="00BD539F">
              <w:t xml:space="preserve"> provide a clear, effective framework to track, monitor and assess continually the </w:t>
            </w:r>
            <w:r>
              <w:t>impact of planned improvements.</w:t>
            </w:r>
          </w:p>
          <w:p w14:paraId="48FDBB44" w14:textId="77777777" w:rsidR="00B8229D" w:rsidRDefault="00B8229D" w:rsidP="00B8229D">
            <w:pPr>
              <w:pStyle w:val="ListParagraph"/>
              <w:numPr>
                <w:ilvl w:val="0"/>
                <w:numId w:val="3"/>
              </w:numPr>
              <w:tabs>
                <w:tab w:val="left" w:pos="284"/>
                <w:tab w:val="left" w:pos="1440"/>
                <w:tab w:val="left" w:pos="2160"/>
                <w:tab w:val="left" w:pos="2880"/>
                <w:tab w:val="left" w:pos="4680"/>
                <w:tab w:val="left" w:pos="5400"/>
                <w:tab w:val="right" w:pos="9000"/>
              </w:tabs>
              <w:spacing w:after="40" w:line="240" w:lineRule="atLeast"/>
            </w:pPr>
            <w:r w:rsidRPr="00B8229D">
              <w:rPr>
                <w:szCs w:val="24"/>
              </w:rPr>
              <w:t>Clearly identified arrangements for internal and external moderation of teacher judgement, using a wide range of evidence, are based on a consistent and shared understanding of standards within Curriculum for Excellence (CfE) levels.</w:t>
            </w:r>
          </w:p>
          <w:p w14:paraId="4905FFC3" w14:textId="77777777" w:rsidR="00B8229D" w:rsidRPr="00BD539F" w:rsidRDefault="00482A59" w:rsidP="00B8229D">
            <w:pPr>
              <w:pStyle w:val="ListParagraph"/>
              <w:numPr>
                <w:ilvl w:val="0"/>
                <w:numId w:val="3"/>
              </w:numPr>
              <w:tabs>
                <w:tab w:val="left" w:pos="284"/>
                <w:tab w:val="left" w:pos="1440"/>
                <w:tab w:val="left" w:pos="2160"/>
                <w:tab w:val="left" w:pos="2880"/>
                <w:tab w:val="left" w:pos="4680"/>
                <w:tab w:val="left" w:pos="5400"/>
                <w:tab w:val="right" w:pos="9000"/>
              </w:tabs>
              <w:spacing w:after="40" w:line="240" w:lineRule="atLeast"/>
            </w:pPr>
            <w:hyperlink r:id="rId8" w:history="1">
              <w:r w:rsidR="00B8229D">
                <w:rPr>
                  <w:rStyle w:val="Hyperlink"/>
                </w:rPr>
                <w:t>HGIOS?4/HGIOELC</w:t>
              </w:r>
            </w:hyperlink>
            <w:r w:rsidR="00B8229D">
              <w:t xml:space="preserve"> framework, and other relevant self-evaluation tools</w:t>
            </w:r>
            <w:r w:rsidR="009D7DFA">
              <w:t>,</w:t>
            </w:r>
            <w:r w:rsidR="00B8229D">
              <w:t xml:space="preserve"> such as  </w:t>
            </w:r>
            <w:hyperlink r:id="rId9" w:history="1">
              <w:r w:rsidR="00B8229D" w:rsidRPr="00B8229D">
                <w:rPr>
                  <w:rStyle w:val="Hyperlink"/>
                </w:rPr>
                <w:t>How Good is OUR School</w:t>
              </w:r>
            </w:hyperlink>
            <w:r w:rsidR="009D7DFA">
              <w:rPr>
                <w:rStyle w:val="Hyperlink"/>
              </w:rPr>
              <w:t>,</w:t>
            </w:r>
            <w:r w:rsidR="00B8229D">
              <w:t xml:space="preserve"> are used effectively to evaluate progress. </w:t>
            </w:r>
          </w:p>
          <w:p w14:paraId="0631B070" w14:textId="77777777" w:rsidR="00B8229D" w:rsidRDefault="00B8229D" w:rsidP="001555FA">
            <w:pPr>
              <w:rPr>
                <w:rFonts w:eastAsia="Arial" w:cs="Arial"/>
                <w:b/>
                <w:bCs/>
                <w:color w:val="5B9BD5" w:themeColor="accent1"/>
                <w:szCs w:val="24"/>
              </w:rPr>
            </w:pPr>
          </w:p>
        </w:tc>
      </w:tr>
    </w:tbl>
    <w:p w14:paraId="318EB425" w14:textId="77777777" w:rsidR="00B8229D" w:rsidRDefault="00B8229D" w:rsidP="00B8229D">
      <w:pPr>
        <w:pStyle w:val="ListParagraph"/>
        <w:rPr>
          <w:szCs w:val="24"/>
        </w:rPr>
      </w:pPr>
    </w:p>
    <w:tbl>
      <w:tblPr>
        <w:tblStyle w:val="TableGrid"/>
        <w:tblW w:w="0" w:type="auto"/>
        <w:tblInd w:w="-5" w:type="dxa"/>
        <w:tblLook w:val="04A0" w:firstRow="1" w:lastRow="0" w:firstColumn="1" w:lastColumn="0" w:noHBand="0" w:noVBand="1"/>
      </w:tblPr>
      <w:tblGrid>
        <w:gridCol w:w="4536"/>
        <w:gridCol w:w="4485"/>
      </w:tblGrid>
      <w:tr w:rsidR="00B8229D" w14:paraId="56B2E0E0" w14:textId="77777777" w:rsidTr="00B8229D">
        <w:trPr>
          <w:trHeight w:val="844"/>
        </w:trPr>
        <w:tc>
          <w:tcPr>
            <w:tcW w:w="4536" w:type="dxa"/>
          </w:tcPr>
          <w:p w14:paraId="4AA1C9CE" w14:textId="77777777" w:rsidR="00B8229D" w:rsidRDefault="00B8229D" w:rsidP="001555FA">
            <w:pPr>
              <w:jc w:val="center"/>
              <w:rPr>
                <w:b/>
                <w:color w:val="5B9BD5" w:themeColor="accent1"/>
                <w:szCs w:val="24"/>
              </w:rPr>
            </w:pPr>
            <w:r w:rsidRPr="00097231">
              <w:rPr>
                <w:b/>
                <w:color w:val="5B9BD5" w:themeColor="accent1"/>
                <w:szCs w:val="24"/>
              </w:rPr>
              <w:lastRenderedPageBreak/>
              <w:t>Key feature 3</w:t>
            </w:r>
          </w:p>
          <w:p w14:paraId="3BC7BFEC" w14:textId="77777777" w:rsidR="00B8229D" w:rsidRPr="00097231" w:rsidRDefault="00B8229D" w:rsidP="001555FA">
            <w:pPr>
              <w:jc w:val="center"/>
              <w:rPr>
                <w:b/>
                <w:color w:val="5B9BD5" w:themeColor="accent1"/>
                <w:szCs w:val="24"/>
              </w:rPr>
            </w:pPr>
            <w:r w:rsidRPr="00097231">
              <w:rPr>
                <w:b/>
                <w:color w:val="5B9BD5" w:themeColor="accent1"/>
                <w:szCs w:val="24"/>
              </w:rPr>
              <w:t>A manageable, measurable plan</w:t>
            </w:r>
          </w:p>
          <w:p w14:paraId="791AA3A3" w14:textId="77777777" w:rsidR="00B8229D" w:rsidRDefault="00B8229D" w:rsidP="001555FA">
            <w:pPr>
              <w:pStyle w:val="ListParagraph"/>
              <w:ind w:left="0"/>
              <w:rPr>
                <w:szCs w:val="24"/>
              </w:rPr>
            </w:pPr>
          </w:p>
        </w:tc>
        <w:tc>
          <w:tcPr>
            <w:tcW w:w="4485" w:type="dxa"/>
          </w:tcPr>
          <w:p w14:paraId="0E049B6E" w14:textId="77777777" w:rsidR="00B8229D" w:rsidRPr="00097231" w:rsidRDefault="00B8229D" w:rsidP="001555FA">
            <w:pPr>
              <w:jc w:val="center"/>
              <w:rPr>
                <w:b/>
                <w:color w:val="5B9BD5" w:themeColor="accent1"/>
                <w:szCs w:val="24"/>
              </w:rPr>
            </w:pPr>
            <w:r w:rsidRPr="00097231">
              <w:rPr>
                <w:b/>
                <w:color w:val="5B9BD5" w:themeColor="accent1"/>
                <w:szCs w:val="24"/>
              </w:rPr>
              <w:t>Key feature 4</w:t>
            </w:r>
          </w:p>
          <w:p w14:paraId="61CB7E23" w14:textId="77777777" w:rsidR="00B8229D" w:rsidRPr="00B8229D" w:rsidRDefault="00B8229D" w:rsidP="00B8229D">
            <w:pPr>
              <w:jc w:val="center"/>
              <w:rPr>
                <w:b/>
                <w:color w:val="5B9BD5" w:themeColor="accent1"/>
                <w:szCs w:val="24"/>
              </w:rPr>
            </w:pPr>
            <w:r w:rsidRPr="00097231">
              <w:rPr>
                <w:b/>
                <w:color w:val="5B9BD5" w:themeColor="accent1"/>
                <w:szCs w:val="24"/>
              </w:rPr>
              <w:t>An annual standards and quality report</w:t>
            </w:r>
          </w:p>
        </w:tc>
      </w:tr>
      <w:tr w:rsidR="00B8229D" w14:paraId="6B67CB70" w14:textId="77777777" w:rsidTr="00B8229D">
        <w:tc>
          <w:tcPr>
            <w:tcW w:w="4536" w:type="dxa"/>
          </w:tcPr>
          <w:p w14:paraId="2769DB40" w14:textId="77777777" w:rsidR="00B8229D" w:rsidRDefault="00B8229D" w:rsidP="00B8229D">
            <w:pPr>
              <w:pStyle w:val="ListParagraph"/>
              <w:numPr>
                <w:ilvl w:val="0"/>
                <w:numId w:val="9"/>
              </w:numPr>
              <w:tabs>
                <w:tab w:val="left" w:pos="284"/>
                <w:tab w:val="left" w:pos="1440"/>
                <w:tab w:val="left" w:pos="2160"/>
                <w:tab w:val="left" w:pos="2880"/>
                <w:tab w:val="left" w:pos="4680"/>
                <w:tab w:val="left" w:pos="5400"/>
                <w:tab w:val="right" w:pos="9000"/>
              </w:tabs>
              <w:spacing w:line="240" w:lineRule="atLeast"/>
            </w:pPr>
            <w:r>
              <w:t>Plans should outline clear outcomes to be achieved and how progress towards these will be measured.</w:t>
            </w:r>
          </w:p>
          <w:p w14:paraId="230CF2FB" w14:textId="77777777" w:rsidR="00B8229D" w:rsidRDefault="00B8229D" w:rsidP="00B8229D">
            <w:pPr>
              <w:pStyle w:val="ListParagraph"/>
              <w:numPr>
                <w:ilvl w:val="0"/>
                <w:numId w:val="5"/>
              </w:numPr>
              <w:tabs>
                <w:tab w:val="left" w:pos="284"/>
                <w:tab w:val="left" w:pos="1440"/>
                <w:tab w:val="left" w:pos="2160"/>
                <w:tab w:val="left" w:pos="2880"/>
                <w:tab w:val="left" w:pos="4680"/>
                <w:tab w:val="left" w:pos="5400"/>
                <w:tab w:val="right" w:pos="9000"/>
              </w:tabs>
              <w:spacing w:line="240" w:lineRule="atLeast"/>
            </w:pPr>
            <w:r>
              <w:t>Plans should include a manageable number of achievable and appropriate targets, expressed as outcomes for learners, which are observable and clear measures of success.</w:t>
            </w:r>
          </w:p>
          <w:p w14:paraId="42D23AA9" w14:textId="77777777" w:rsidR="00B8229D" w:rsidRDefault="00B8229D" w:rsidP="00B8229D">
            <w:pPr>
              <w:pStyle w:val="ListParagraph"/>
              <w:numPr>
                <w:ilvl w:val="0"/>
                <w:numId w:val="5"/>
              </w:numPr>
              <w:tabs>
                <w:tab w:val="left" w:pos="284"/>
                <w:tab w:val="left" w:pos="1440"/>
                <w:tab w:val="left" w:pos="2160"/>
                <w:tab w:val="left" w:pos="2880"/>
                <w:tab w:val="left" w:pos="4680"/>
                <w:tab w:val="left" w:pos="5400"/>
                <w:tab w:val="right" w:pos="9000"/>
              </w:tabs>
              <w:spacing w:line="240" w:lineRule="atLeast"/>
            </w:pPr>
            <w:r>
              <w:t>Plans should focus on learning, achievement and wellbeing linked to NIF drivers and</w:t>
            </w:r>
            <w:r w:rsidR="00E91CBF">
              <w:t xml:space="preserve"> </w:t>
            </w:r>
            <w:hyperlink r:id="rId10" w:history="1">
              <w:r w:rsidR="00E91CBF">
                <w:rPr>
                  <w:rStyle w:val="Hyperlink"/>
                </w:rPr>
                <w:t>HGIOS?4/HGIOELC</w:t>
              </w:r>
            </w:hyperlink>
            <w:r>
              <w:t xml:space="preserve"> quality indicators (QIs) with clearly identified responsibilities for implementation and clear timescale</w:t>
            </w:r>
            <w:r w:rsidR="00E91CBF">
              <w:t>s</w:t>
            </w:r>
            <w:r>
              <w:t xml:space="preserve"> which ensure priorities are achieved</w:t>
            </w:r>
            <w:r w:rsidR="00E91CBF">
              <w:t>.</w:t>
            </w:r>
          </w:p>
          <w:p w14:paraId="16213712" w14:textId="77777777" w:rsidR="00B8229D" w:rsidRPr="00BD539F" w:rsidRDefault="00B8229D" w:rsidP="00B8229D">
            <w:pPr>
              <w:pStyle w:val="ListParagraph"/>
              <w:numPr>
                <w:ilvl w:val="0"/>
                <w:numId w:val="5"/>
              </w:numPr>
              <w:tabs>
                <w:tab w:val="left" w:pos="284"/>
                <w:tab w:val="left" w:pos="1440"/>
                <w:tab w:val="left" w:pos="2160"/>
                <w:tab w:val="left" w:pos="2880"/>
                <w:tab w:val="left" w:pos="4680"/>
                <w:tab w:val="left" w:pos="5400"/>
                <w:tab w:val="right" w:pos="9000"/>
              </w:tabs>
              <w:spacing w:line="240" w:lineRule="atLeast"/>
            </w:pPr>
            <w:r>
              <w:t>Implementation of priorities should be carefully planned and managed to ensure maximum success.</w:t>
            </w:r>
          </w:p>
          <w:p w14:paraId="134A6091" w14:textId="77777777" w:rsidR="00B8229D" w:rsidRDefault="00B8229D" w:rsidP="00B8229D">
            <w:pPr>
              <w:numPr>
                <w:ilvl w:val="0"/>
                <w:numId w:val="5"/>
              </w:numPr>
              <w:tabs>
                <w:tab w:val="left" w:pos="284"/>
                <w:tab w:val="left" w:pos="1440"/>
                <w:tab w:val="left" w:pos="2160"/>
                <w:tab w:val="left" w:pos="2880"/>
                <w:tab w:val="left" w:pos="4680"/>
                <w:tab w:val="left" w:pos="5400"/>
                <w:tab w:val="right" w:pos="9000"/>
              </w:tabs>
              <w:spacing w:line="240" w:lineRule="atLeast"/>
              <w:contextualSpacing/>
            </w:pPr>
            <w:r>
              <w:t>Plans should be reviewed regularly with all stakeholders and used proactively to monitor progress towards achieving identified outcomes and improvements.</w:t>
            </w:r>
          </w:p>
          <w:p w14:paraId="276768E7" w14:textId="77777777" w:rsidR="00B8229D" w:rsidRPr="00F3406B" w:rsidRDefault="00B8229D" w:rsidP="00B8229D">
            <w:pPr>
              <w:numPr>
                <w:ilvl w:val="0"/>
                <w:numId w:val="5"/>
              </w:numPr>
              <w:tabs>
                <w:tab w:val="left" w:pos="284"/>
                <w:tab w:val="left" w:pos="1440"/>
                <w:tab w:val="left" w:pos="2160"/>
                <w:tab w:val="left" w:pos="2880"/>
                <w:tab w:val="left" w:pos="4680"/>
                <w:tab w:val="left" w:pos="5400"/>
                <w:tab w:val="right" w:pos="9000"/>
              </w:tabs>
              <w:spacing w:line="240" w:lineRule="atLeast"/>
              <w:contextualSpacing/>
            </w:pPr>
            <w:r>
              <w:t>If, as a result of this ongoing monitoring, the plans are not achieving the results intended, plans should be reviewed, adapted or changed.</w:t>
            </w:r>
          </w:p>
          <w:p w14:paraId="453031AC" w14:textId="77777777" w:rsidR="00B8229D" w:rsidRDefault="00B8229D" w:rsidP="001555FA">
            <w:pPr>
              <w:pStyle w:val="ListParagraph"/>
              <w:ind w:left="0"/>
              <w:rPr>
                <w:szCs w:val="24"/>
              </w:rPr>
            </w:pPr>
          </w:p>
        </w:tc>
        <w:tc>
          <w:tcPr>
            <w:tcW w:w="4485" w:type="dxa"/>
          </w:tcPr>
          <w:p w14:paraId="64EE5F76" w14:textId="77777777" w:rsidR="00B8229D" w:rsidRPr="005B0D6B" w:rsidRDefault="00B8229D" w:rsidP="00B8229D">
            <w:pPr>
              <w:pStyle w:val="ListParagraph"/>
              <w:numPr>
                <w:ilvl w:val="0"/>
                <w:numId w:val="5"/>
              </w:numPr>
              <w:tabs>
                <w:tab w:val="left" w:pos="284"/>
                <w:tab w:val="left" w:pos="1440"/>
                <w:tab w:val="left" w:pos="2160"/>
                <w:tab w:val="left" w:pos="2880"/>
                <w:tab w:val="left" w:pos="4680"/>
                <w:tab w:val="left" w:pos="5400"/>
                <w:tab w:val="right" w:pos="9000"/>
              </w:tabs>
              <w:spacing w:line="240" w:lineRule="atLeast"/>
              <w:rPr>
                <w:b/>
                <w:bCs/>
              </w:rPr>
            </w:pPr>
            <w:r>
              <w:t>Record</w:t>
            </w:r>
            <w:r w:rsidR="00E91CBF">
              <w:t>s</w:t>
            </w:r>
            <w:r>
              <w:t xml:space="preserve"> </w:t>
            </w:r>
            <w:r w:rsidR="00E91CBF">
              <w:t>progress of an e</w:t>
            </w:r>
            <w:r>
              <w:t xml:space="preserve">stablishment’s annual improvement plan in an annual standards and quality report. </w:t>
            </w:r>
          </w:p>
          <w:p w14:paraId="27D112C0" w14:textId="77777777" w:rsidR="00B8229D" w:rsidRPr="00BD539F" w:rsidRDefault="00B8229D" w:rsidP="00B8229D">
            <w:pPr>
              <w:numPr>
                <w:ilvl w:val="0"/>
                <w:numId w:val="6"/>
              </w:numPr>
              <w:tabs>
                <w:tab w:val="left" w:pos="284"/>
                <w:tab w:val="left" w:pos="1440"/>
                <w:tab w:val="left" w:pos="2160"/>
                <w:tab w:val="left" w:pos="2880"/>
                <w:tab w:val="left" w:pos="4680"/>
                <w:tab w:val="left" w:pos="5400"/>
                <w:tab w:val="right" w:pos="9000"/>
              </w:tabs>
              <w:spacing w:line="240" w:lineRule="atLeast"/>
              <w:ind w:left="284" w:hanging="284"/>
              <w:contextualSpacing/>
              <w:rPr>
                <w:b/>
                <w:bCs/>
              </w:rPr>
            </w:pPr>
            <w:r>
              <w:t>Promote</w:t>
            </w:r>
            <w:r w:rsidR="00E91CBF">
              <w:t>s</w:t>
            </w:r>
            <w:r>
              <w:t xml:space="preserve"> collaborative working with all stakeholders and provides an overall evaluation of the school’s capacity for continuous improvement. </w:t>
            </w:r>
          </w:p>
          <w:p w14:paraId="1AC92446" w14:textId="704DFD0B" w:rsidR="00B8229D" w:rsidRPr="00097231" w:rsidRDefault="00B8229D" w:rsidP="00B8229D">
            <w:pPr>
              <w:numPr>
                <w:ilvl w:val="0"/>
                <w:numId w:val="6"/>
              </w:numPr>
              <w:tabs>
                <w:tab w:val="left" w:pos="284"/>
                <w:tab w:val="left" w:pos="1440"/>
                <w:tab w:val="left" w:pos="2160"/>
                <w:tab w:val="left" w:pos="2880"/>
                <w:tab w:val="left" w:pos="4680"/>
                <w:tab w:val="left" w:pos="5400"/>
                <w:tab w:val="right" w:pos="9000"/>
              </w:tabs>
              <w:spacing w:line="240" w:lineRule="atLeast"/>
              <w:ind w:left="284" w:hanging="284"/>
              <w:contextualSpacing/>
              <w:rPr>
                <w:b/>
                <w:szCs w:val="24"/>
              </w:rPr>
            </w:pPr>
            <w:r>
              <w:rPr>
                <w:szCs w:val="24"/>
              </w:rPr>
              <w:t>I</w:t>
            </w:r>
            <w:r w:rsidRPr="00097231">
              <w:rPr>
                <w:szCs w:val="24"/>
              </w:rPr>
              <w:t>ncludes</w:t>
            </w:r>
            <w:r w:rsidRPr="00097231">
              <w:rPr>
                <w:b/>
                <w:szCs w:val="24"/>
              </w:rPr>
              <w:t xml:space="preserve"> </w:t>
            </w:r>
            <w:r w:rsidRPr="00097231">
              <w:rPr>
                <w:szCs w:val="24"/>
              </w:rPr>
              <w:t xml:space="preserve">clear evaluations of progress achieved in relation </w:t>
            </w:r>
            <w:r>
              <w:rPr>
                <w:szCs w:val="24"/>
              </w:rPr>
              <w:t xml:space="preserve">to all </w:t>
            </w:r>
            <w:r w:rsidR="009B726A">
              <w:rPr>
                <w:szCs w:val="24"/>
              </w:rPr>
              <w:t xml:space="preserve">establishment </w:t>
            </w:r>
            <w:r>
              <w:rPr>
                <w:szCs w:val="24"/>
              </w:rPr>
              <w:t>and NIF priorities.</w:t>
            </w:r>
          </w:p>
          <w:p w14:paraId="318140B6" w14:textId="77777777" w:rsidR="00B8229D" w:rsidRPr="00097231" w:rsidRDefault="00B8229D" w:rsidP="00B8229D">
            <w:pPr>
              <w:numPr>
                <w:ilvl w:val="0"/>
                <w:numId w:val="6"/>
              </w:numPr>
              <w:tabs>
                <w:tab w:val="left" w:pos="284"/>
                <w:tab w:val="left" w:pos="1440"/>
                <w:tab w:val="left" w:pos="2160"/>
                <w:tab w:val="left" w:pos="2880"/>
                <w:tab w:val="left" w:pos="4680"/>
                <w:tab w:val="left" w:pos="5400"/>
                <w:tab w:val="right" w:pos="9000"/>
              </w:tabs>
              <w:spacing w:line="240" w:lineRule="atLeast"/>
              <w:ind w:left="284" w:hanging="284"/>
              <w:contextualSpacing/>
              <w:rPr>
                <w:szCs w:val="24"/>
              </w:rPr>
            </w:pPr>
            <w:r>
              <w:rPr>
                <w:szCs w:val="24"/>
              </w:rPr>
              <w:t xml:space="preserve">Provides </w:t>
            </w:r>
            <w:r w:rsidRPr="00097231">
              <w:rPr>
                <w:szCs w:val="24"/>
              </w:rPr>
              <w:t xml:space="preserve">robust information about the assessment of </w:t>
            </w:r>
            <w:r>
              <w:rPr>
                <w:szCs w:val="24"/>
              </w:rPr>
              <w:t xml:space="preserve">learners’ </w:t>
            </w:r>
            <w:r w:rsidRPr="00097231">
              <w:rPr>
                <w:szCs w:val="24"/>
              </w:rPr>
              <w:t>progress and wellbeing, and the quality of their learning experiences, working with partners and community.</w:t>
            </w:r>
          </w:p>
          <w:p w14:paraId="469C5132" w14:textId="77777777" w:rsidR="00B8229D" w:rsidRPr="00BD539F" w:rsidRDefault="00B8229D" w:rsidP="00B8229D">
            <w:pPr>
              <w:numPr>
                <w:ilvl w:val="0"/>
                <w:numId w:val="6"/>
              </w:numPr>
              <w:tabs>
                <w:tab w:val="left" w:pos="284"/>
                <w:tab w:val="left" w:pos="1440"/>
                <w:tab w:val="left" w:pos="2160"/>
                <w:tab w:val="left" w:pos="2880"/>
                <w:tab w:val="left" w:pos="4680"/>
                <w:tab w:val="left" w:pos="5400"/>
                <w:tab w:val="right" w:pos="9000"/>
              </w:tabs>
              <w:spacing w:line="240" w:lineRule="atLeast"/>
              <w:ind w:left="284" w:hanging="284"/>
              <w:contextualSpacing/>
              <w:rPr>
                <w:b/>
                <w:szCs w:val="24"/>
              </w:rPr>
            </w:pPr>
            <w:r w:rsidRPr="00097231">
              <w:rPr>
                <w:szCs w:val="24"/>
              </w:rPr>
              <w:t xml:space="preserve">Includes evaluations of the impact of the plan to ensure excellence, equity and positive outcomes for </w:t>
            </w:r>
            <w:r>
              <w:rPr>
                <w:szCs w:val="24"/>
              </w:rPr>
              <w:t>all learners.</w:t>
            </w:r>
          </w:p>
          <w:p w14:paraId="75E3C526" w14:textId="77777777" w:rsidR="00B8229D" w:rsidRPr="00F3406B" w:rsidRDefault="00B8229D" w:rsidP="00B8229D">
            <w:pPr>
              <w:numPr>
                <w:ilvl w:val="0"/>
                <w:numId w:val="6"/>
              </w:numPr>
              <w:tabs>
                <w:tab w:val="left" w:pos="284"/>
                <w:tab w:val="left" w:pos="1440"/>
                <w:tab w:val="left" w:pos="2160"/>
                <w:tab w:val="left" w:pos="2880"/>
                <w:tab w:val="left" w:pos="4680"/>
                <w:tab w:val="left" w:pos="5400"/>
                <w:tab w:val="right" w:pos="9000"/>
              </w:tabs>
              <w:spacing w:line="240" w:lineRule="atLeast"/>
              <w:ind w:left="284" w:hanging="284"/>
              <w:contextualSpacing/>
              <w:rPr>
                <w:b/>
                <w:szCs w:val="24"/>
              </w:rPr>
            </w:pPr>
            <w:r>
              <w:rPr>
                <w:szCs w:val="24"/>
              </w:rPr>
              <w:t>R</w:t>
            </w:r>
            <w:r>
              <w:t xml:space="preserve">eports on progress towards stated aims and tackling the poverty-related attainment gap. </w:t>
            </w:r>
          </w:p>
          <w:p w14:paraId="3E0F48C7" w14:textId="77777777" w:rsidR="00B8229D" w:rsidRPr="00F3406B" w:rsidRDefault="00B8229D" w:rsidP="00B8229D">
            <w:pPr>
              <w:numPr>
                <w:ilvl w:val="0"/>
                <w:numId w:val="6"/>
              </w:numPr>
              <w:tabs>
                <w:tab w:val="left" w:pos="284"/>
                <w:tab w:val="left" w:pos="1440"/>
                <w:tab w:val="left" w:pos="2160"/>
                <w:tab w:val="left" w:pos="2880"/>
                <w:tab w:val="left" w:pos="4680"/>
                <w:tab w:val="left" w:pos="5400"/>
                <w:tab w:val="right" w:pos="9000"/>
              </w:tabs>
              <w:spacing w:line="240" w:lineRule="atLeast"/>
              <w:ind w:left="284" w:hanging="284"/>
              <w:contextualSpacing/>
              <w:rPr>
                <w:b/>
                <w:szCs w:val="24"/>
              </w:rPr>
            </w:pPr>
            <w:r w:rsidRPr="00F3406B">
              <w:rPr>
                <w:szCs w:val="24"/>
              </w:rPr>
              <w:t>Identifies further actions to improve outcomes for all learners which are planned and communicated</w:t>
            </w:r>
          </w:p>
        </w:tc>
      </w:tr>
    </w:tbl>
    <w:p w14:paraId="07F47D07" w14:textId="77777777" w:rsidR="00B8229D" w:rsidRDefault="00B8229D" w:rsidP="00B8229D">
      <w:pPr>
        <w:tabs>
          <w:tab w:val="left" w:pos="720"/>
          <w:tab w:val="left" w:pos="1440"/>
          <w:tab w:val="left" w:pos="2160"/>
          <w:tab w:val="left" w:pos="2880"/>
          <w:tab w:val="right" w:pos="9907"/>
        </w:tabs>
        <w:rPr>
          <w:rFonts w:eastAsia="Arial" w:cs="Arial"/>
          <w:b/>
          <w:bCs/>
          <w:color w:val="5B9AD5"/>
        </w:rPr>
      </w:pPr>
    </w:p>
    <w:p w14:paraId="496D3A67" w14:textId="77777777" w:rsidR="00B8229D" w:rsidRDefault="00B8229D" w:rsidP="00B8229D">
      <w:pPr>
        <w:tabs>
          <w:tab w:val="left" w:pos="720"/>
          <w:tab w:val="left" w:pos="1440"/>
          <w:tab w:val="left" w:pos="2160"/>
          <w:tab w:val="left" w:pos="2880"/>
          <w:tab w:val="right" w:pos="9907"/>
        </w:tabs>
        <w:rPr>
          <w:rFonts w:eastAsia="Arial" w:cs="Arial"/>
          <w:b/>
          <w:bCs/>
          <w:color w:val="5B9AD5"/>
        </w:rPr>
      </w:pPr>
      <w:r w:rsidRPr="7150C1E8">
        <w:rPr>
          <w:rFonts w:eastAsia="Arial" w:cs="Arial"/>
          <w:b/>
          <w:bCs/>
          <w:color w:val="5B9AD5"/>
        </w:rPr>
        <w:t>Considerations for 2022-23</w:t>
      </w:r>
    </w:p>
    <w:p w14:paraId="7E66587B" w14:textId="77777777" w:rsidR="00B8229D" w:rsidRDefault="00B8229D" w:rsidP="00B8229D">
      <w:pPr>
        <w:rPr>
          <w:rFonts w:eastAsia="Arial" w:cs="Arial"/>
          <w:szCs w:val="24"/>
          <w:u w:val="single"/>
        </w:rPr>
      </w:pPr>
      <w:r w:rsidRPr="00F3406B">
        <w:rPr>
          <w:rFonts w:eastAsia="Arial" w:cs="Arial"/>
          <w:szCs w:val="24"/>
          <w:lang w:eastAsia="en-GB"/>
        </w:rPr>
        <w:t>Recovery, renewal and intensification of support to mitigate against ongoing impacts of the pandemic</w:t>
      </w:r>
      <w:r>
        <w:rPr>
          <w:rFonts w:eastAsia="Arial" w:cs="Arial"/>
          <w:szCs w:val="24"/>
          <w:lang w:eastAsia="en-GB"/>
        </w:rPr>
        <w:t xml:space="preserve"> </w:t>
      </w:r>
      <w:r w:rsidRPr="00F3406B">
        <w:rPr>
          <w:rFonts w:eastAsia="Arial" w:cs="Arial"/>
          <w:szCs w:val="24"/>
          <w:lang w:eastAsia="en-GB"/>
        </w:rPr>
        <w:t>continue to be relevant considerations</w:t>
      </w:r>
      <w:r>
        <w:rPr>
          <w:rFonts w:eastAsia="Arial" w:cs="Arial"/>
          <w:szCs w:val="24"/>
          <w:lang w:eastAsia="en-GB"/>
        </w:rPr>
        <w:t>.</w:t>
      </w:r>
      <w:r w:rsidRPr="00F3406B">
        <w:rPr>
          <w:rFonts w:eastAsia="Arial" w:cs="Arial"/>
          <w:szCs w:val="24"/>
          <w:lang w:eastAsia="en-GB"/>
        </w:rPr>
        <w:t xml:space="preserve"> </w:t>
      </w:r>
      <w:r w:rsidRPr="00B8229D">
        <w:rPr>
          <w:rFonts w:eastAsia="Arial" w:cs="Arial"/>
          <w:b/>
          <w:szCs w:val="24"/>
        </w:rPr>
        <w:t xml:space="preserve">Seeking and acting on learners’ views </w:t>
      </w:r>
      <w:r w:rsidR="00E91CBF">
        <w:rPr>
          <w:rFonts w:eastAsia="Arial" w:cs="Arial"/>
          <w:b/>
          <w:szCs w:val="24"/>
        </w:rPr>
        <w:t xml:space="preserve">is </w:t>
      </w:r>
      <w:r w:rsidRPr="00B8229D">
        <w:rPr>
          <w:rFonts w:eastAsia="Arial" w:cs="Arial"/>
          <w:b/>
          <w:szCs w:val="24"/>
        </w:rPr>
        <w:t>especially important g</w:t>
      </w:r>
      <w:r w:rsidRPr="00B8229D">
        <w:rPr>
          <w:rFonts w:eastAsia="Arial" w:cs="Arial"/>
          <w:b/>
          <w:szCs w:val="24"/>
          <w:lang w:eastAsia="en-GB"/>
        </w:rPr>
        <w:t xml:space="preserve">iven </w:t>
      </w:r>
      <w:r w:rsidRPr="00B8229D">
        <w:rPr>
          <w:rFonts w:eastAsia="Arial" w:cs="Arial"/>
          <w:b/>
          <w:szCs w:val="24"/>
        </w:rPr>
        <w:t xml:space="preserve">the </w:t>
      </w:r>
      <w:r w:rsidRPr="00B8229D">
        <w:rPr>
          <w:rFonts w:eastAsia="Arial" w:cs="Arial"/>
          <w:b/>
          <w:szCs w:val="24"/>
          <w:lang w:eastAsia="en-GB"/>
        </w:rPr>
        <w:t>commitment</w:t>
      </w:r>
      <w:r w:rsidRPr="00B8229D">
        <w:rPr>
          <w:rFonts w:eastAsia="Arial" w:cs="Arial"/>
          <w:b/>
          <w:szCs w:val="24"/>
        </w:rPr>
        <w:t xml:space="preserve"> to the centrality of learners’ voice and rights</w:t>
      </w:r>
      <w:r w:rsidRPr="00F3406B">
        <w:rPr>
          <w:rFonts w:eastAsia="Arial" w:cs="Arial"/>
          <w:szCs w:val="24"/>
        </w:rPr>
        <w:t xml:space="preserve"> set out in </w:t>
      </w:r>
      <w:hyperlink r:id="rId11">
        <w:r w:rsidRPr="00F3406B">
          <w:rPr>
            <w:rFonts w:eastAsia="Arial" w:cs="Arial"/>
            <w:szCs w:val="24"/>
            <w:u w:val="single"/>
          </w:rPr>
          <w:t xml:space="preserve">Achieving Excellence and Equity National Improvement Framework and Improvement Plan 2022. </w:t>
        </w:r>
      </w:hyperlink>
    </w:p>
    <w:p w14:paraId="375D696F" w14:textId="77777777" w:rsidR="00B8229D" w:rsidRDefault="00B8229D" w:rsidP="00B8229D">
      <w:pPr>
        <w:rPr>
          <w:rFonts w:eastAsia="Arial" w:cs="Arial"/>
          <w:szCs w:val="24"/>
          <w:u w:val="single"/>
        </w:rPr>
      </w:pPr>
    </w:p>
    <w:p w14:paraId="15A29FD1" w14:textId="77777777" w:rsidR="00B8229D" w:rsidRPr="00F3406B" w:rsidRDefault="00B8229D" w:rsidP="00B8229D">
      <w:pPr>
        <w:rPr>
          <w:rFonts w:eastAsia="Arial" w:cs="Arial"/>
          <w:szCs w:val="24"/>
        </w:rPr>
      </w:pPr>
      <w:r w:rsidRPr="00F3406B">
        <w:rPr>
          <w:rFonts w:eastAsia="Arial" w:cs="Arial"/>
          <w:color w:val="000000" w:themeColor="text1"/>
          <w:szCs w:val="24"/>
          <w:lang w:val="en-US"/>
        </w:rPr>
        <w:t>The current context may also present valuable opportunities to build upon innovations which have emerged</w:t>
      </w:r>
      <w:r>
        <w:rPr>
          <w:rFonts w:eastAsia="Arial" w:cs="Arial"/>
          <w:color w:val="000000" w:themeColor="text1"/>
          <w:szCs w:val="24"/>
          <w:lang w:val="en-US"/>
        </w:rPr>
        <w:t>. These might include</w:t>
      </w:r>
      <w:r w:rsidRPr="00F3406B">
        <w:rPr>
          <w:rFonts w:eastAsia="Arial" w:cs="Arial"/>
          <w:color w:val="000000" w:themeColor="text1"/>
          <w:szCs w:val="24"/>
          <w:lang w:val="en-US"/>
        </w:rPr>
        <w:t xml:space="preserve"> </w:t>
      </w:r>
      <w:r>
        <w:rPr>
          <w:rFonts w:eastAsia="Arial" w:cs="Arial"/>
          <w:color w:val="000000" w:themeColor="text1"/>
          <w:szCs w:val="24"/>
          <w:lang w:val="en-US"/>
        </w:rPr>
        <w:t>for example, collaboration</w:t>
      </w:r>
      <w:r w:rsidRPr="00F3406B">
        <w:rPr>
          <w:rFonts w:eastAsia="Arial" w:cs="Arial"/>
          <w:color w:val="000000" w:themeColor="text1"/>
          <w:szCs w:val="24"/>
          <w:lang w:val="en-US"/>
        </w:rPr>
        <w:t>, digital literacy, play pedagogy, Learning for Sustainability and outdoor learning.</w:t>
      </w:r>
      <w:r w:rsidRPr="00F3406B">
        <w:rPr>
          <w:rFonts w:eastAsia="Arial" w:cs="Arial"/>
          <w:szCs w:val="24"/>
          <w:lang w:val="en-US"/>
        </w:rPr>
        <w:t xml:space="preserve"> In the current context plans may require to be flexible and agile</w:t>
      </w:r>
      <w:r>
        <w:rPr>
          <w:rFonts w:eastAsia="Arial" w:cs="Arial"/>
          <w:szCs w:val="24"/>
          <w:lang w:val="en-US"/>
        </w:rPr>
        <w:t>,</w:t>
      </w:r>
      <w:r w:rsidRPr="00F3406B">
        <w:rPr>
          <w:rFonts w:eastAsia="Arial" w:cs="Arial"/>
          <w:szCs w:val="24"/>
          <w:lang w:val="en-US"/>
        </w:rPr>
        <w:t xml:space="preserve"> </w:t>
      </w:r>
      <w:r w:rsidRPr="6F8B032D">
        <w:rPr>
          <w:rFonts w:eastAsia="Arial" w:cs="Arial"/>
          <w:szCs w:val="24"/>
          <w:lang w:val="en-US"/>
        </w:rPr>
        <w:t>building</w:t>
      </w:r>
      <w:r w:rsidRPr="00F3406B">
        <w:rPr>
          <w:rFonts w:eastAsia="Arial" w:cs="Arial"/>
          <w:szCs w:val="24"/>
          <w:lang w:val="en-US"/>
        </w:rPr>
        <w:t xml:space="preserve"> in short and longer term priorities.</w:t>
      </w:r>
    </w:p>
    <w:p w14:paraId="1AD9DC43" w14:textId="77777777" w:rsidR="00B8229D" w:rsidRDefault="00B8229D" w:rsidP="00B8229D">
      <w:pPr>
        <w:tabs>
          <w:tab w:val="left" w:pos="720"/>
          <w:tab w:val="left" w:pos="1440"/>
          <w:tab w:val="left" w:pos="2160"/>
          <w:tab w:val="left" w:pos="2880"/>
          <w:tab w:val="right" w:pos="9907"/>
          <w:tab w:val="right" w:pos="10170"/>
        </w:tabs>
        <w:rPr>
          <w:color w:val="0000FF"/>
          <w:szCs w:val="24"/>
          <w:u w:val="single"/>
          <w:lang w:eastAsia="en-GB"/>
        </w:rPr>
      </w:pPr>
    </w:p>
    <w:p w14:paraId="32E3A6D2" w14:textId="77777777" w:rsidR="00B8229D" w:rsidRDefault="00B8229D" w:rsidP="00B8229D">
      <w:pPr>
        <w:tabs>
          <w:tab w:val="left" w:pos="720"/>
          <w:tab w:val="left" w:pos="1440"/>
          <w:tab w:val="left" w:pos="2160"/>
          <w:tab w:val="left" w:pos="2880"/>
          <w:tab w:val="right" w:pos="9907"/>
          <w:tab w:val="right" w:pos="10170"/>
        </w:tabs>
        <w:rPr>
          <w:color w:val="0000FF"/>
          <w:szCs w:val="24"/>
          <w:u w:val="single"/>
          <w:lang w:eastAsia="en-GB"/>
        </w:rPr>
      </w:pPr>
    </w:p>
    <w:p w14:paraId="62838DC5" w14:textId="77777777" w:rsidR="00B8229D" w:rsidRDefault="00B8229D" w:rsidP="00B8229D">
      <w:pPr>
        <w:tabs>
          <w:tab w:val="left" w:pos="720"/>
          <w:tab w:val="left" w:pos="1440"/>
          <w:tab w:val="left" w:pos="2160"/>
          <w:tab w:val="left" w:pos="2880"/>
          <w:tab w:val="right" w:pos="9907"/>
          <w:tab w:val="right" w:pos="10170"/>
        </w:tabs>
        <w:rPr>
          <w:color w:val="0000FF"/>
          <w:szCs w:val="24"/>
          <w:u w:val="single"/>
          <w:lang w:eastAsia="en-GB"/>
        </w:rPr>
      </w:pPr>
    </w:p>
    <w:p w14:paraId="6BE2A358" w14:textId="77777777" w:rsidR="00B8229D" w:rsidRDefault="00B8229D" w:rsidP="00B8229D">
      <w:pPr>
        <w:tabs>
          <w:tab w:val="left" w:pos="720"/>
          <w:tab w:val="left" w:pos="1440"/>
          <w:tab w:val="left" w:pos="2160"/>
          <w:tab w:val="left" w:pos="2880"/>
          <w:tab w:val="right" w:pos="9907"/>
          <w:tab w:val="right" w:pos="10170"/>
        </w:tabs>
        <w:rPr>
          <w:color w:val="0000FF"/>
          <w:szCs w:val="24"/>
          <w:u w:val="single"/>
          <w:lang w:eastAsia="en-GB"/>
        </w:rPr>
      </w:pPr>
    </w:p>
    <w:p w14:paraId="70A14C92" w14:textId="77777777" w:rsidR="00B8229D" w:rsidRDefault="00B8229D" w:rsidP="00B8229D">
      <w:r>
        <w:rPr>
          <w:rFonts w:eastAsia="Arial" w:cs="Arial"/>
          <w:b/>
          <w:bCs/>
          <w:color w:val="5B9AD5"/>
        </w:rPr>
        <w:lastRenderedPageBreak/>
        <w:t xml:space="preserve">The 2022 National Improvement Framework and Improvement Plan </w:t>
      </w:r>
    </w:p>
    <w:p w14:paraId="77036290" w14:textId="77777777" w:rsidR="00B8229D" w:rsidRPr="00097231" w:rsidRDefault="00482A59" w:rsidP="00B8229D">
      <w:hyperlink r:id="rId12">
        <w:r w:rsidR="00B8229D">
          <w:rPr>
            <w:rStyle w:val="Hyperlink"/>
          </w:rPr>
          <w:t>Achieving Excellence and Equity: 2022 National Improvement Framework and Improvement Plan (NIF)</w:t>
        </w:r>
      </w:hyperlink>
      <w:r w:rsidR="00B8229D" w:rsidRPr="7BFEBB7C">
        <w:rPr>
          <w:rStyle w:val="Hyperlink"/>
        </w:rPr>
        <w:t xml:space="preserve"> </w:t>
      </w:r>
      <w:r w:rsidR="00B8229D">
        <w:t>sets out the vision and priorities for Scottish education that have been agreed across the system. It can be used to support and inform improvement planning at establishment level. C</w:t>
      </w:r>
      <w:r w:rsidR="00E91CBF">
        <w:t xml:space="preserve">hanges introduced in 2022 have been </w:t>
      </w:r>
      <w:r w:rsidR="00B8229D" w:rsidRPr="00B8229D">
        <w:rPr>
          <w:highlight w:val="yellow"/>
        </w:rPr>
        <w:t>highlight</w:t>
      </w:r>
      <w:r w:rsidR="00E91CBF">
        <w:rPr>
          <w:highlight w:val="yellow"/>
        </w:rPr>
        <w:t>ed</w:t>
      </w:r>
      <w:r w:rsidR="00B8229D" w:rsidRPr="00B8229D">
        <w:rPr>
          <w:highlight w:val="yellow"/>
        </w:rPr>
        <w:t>.</w:t>
      </w:r>
    </w:p>
    <w:p w14:paraId="57E9334F" w14:textId="77777777" w:rsidR="00B8229D" w:rsidRDefault="00B8229D" w:rsidP="00B8229D"/>
    <w:p w14:paraId="2862476D" w14:textId="77777777" w:rsidR="00B8229D" w:rsidRPr="00B8229D" w:rsidRDefault="00B8229D" w:rsidP="00B8229D">
      <w:pPr>
        <w:rPr>
          <w:i/>
        </w:rPr>
      </w:pPr>
      <w:r w:rsidRPr="00B8229D">
        <w:rPr>
          <w:i/>
        </w:rPr>
        <w:t>Our vision for education in Scotland is:</w:t>
      </w:r>
    </w:p>
    <w:p w14:paraId="5D5ADF63" w14:textId="77777777" w:rsidR="00B8229D" w:rsidRDefault="00B8229D" w:rsidP="00B8229D">
      <w:pPr>
        <w:pStyle w:val="ListParagraph"/>
        <w:numPr>
          <w:ilvl w:val="0"/>
          <w:numId w:val="8"/>
        </w:numPr>
      </w:pPr>
      <w:r>
        <w:t xml:space="preserve">Excellence through raising attainment </w:t>
      </w:r>
      <w:r w:rsidRPr="00E91CBF">
        <w:rPr>
          <w:highlight w:val="yellow"/>
        </w:rPr>
        <w:t>and improving outcomes</w:t>
      </w:r>
      <w:r>
        <w:t xml:space="preserve">: ensuring that every child </w:t>
      </w:r>
      <w:r w:rsidRPr="00E91CBF">
        <w:rPr>
          <w:highlight w:val="yellow"/>
        </w:rPr>
        <w:t>and young person</w:t>
      </w:r>
      <w:r>
        <w:t xml:space="preserve"> achieves the highest standards in literacy and numeracy, as well as the knowledge and skills necessary to shape their future as successful learners, confident individuals, responsible citizens, and effective contributors. </w:t>
      </w:r>
    </w:p>
    <w:p w14:paraId="0238BB0D" w14:textId="77777777" w:rsidR="00B8229D" w:rsidRDefault="00B8229D" w:rsidP="00B8229D">
      <w:pPr>
        <w:pStyle w:val="ListParagraph"/>
        <w:numPr>
          <w:ilvl w:val="0"/>
          <w:numId w:val="8"/>
        </w:numPr>
      </w:pPr>
      <w:r>
        <w:t xml:space="preserve">Achieving equity: ensuring every child </w:t>
      </w:r>
      <w:r w:rsidRPr="00E91CBF">
        <w:rPr>
          <w:highlight w:val="yellow"/>
        </w:rPr>
        <w:t>and young person</w:t>
      </w:r>
      <w:r>
        <w:t xml:space="preserve"> has the same opportunity to succeed, </w:t>
      </w:r>
      <w:r w:rsidRPr="00E91CBF">
        <w:rPr>
          <w:highlight w:val="yellow"/>
        </w:rPr>
        <w:t>no matter their background or shared protected characteristics</w:t>
      </w:r>
      <w:r>
        <w:t>, with a particular focus on closing the poverty related attainment gap.</w:t>
      </w:r>
    </w:p>
    <w:p w14:paraId="556C8C48" w14:textId="77777777" w:rsidR="00B8229D" w:rsidRPr="00B8229D" w:rsidRDefault="00B8229D" w:rsidP="00B8229D">
      <w:pPr>
        <w:pStyle w:val="ListParagraph"/>
        <w:ind w:left="360"/>
      </w:pPr>
    </w:p>
    <w:p w14:paraId="404E8697" w14:textId="77777777" w:rsidR="00B8229D" w:rsidRPr="00B8229D" w:rsidRDefault="00B8229D" w:rsidP="00B8229D">
      <w:pPr>
        <w:pStyle w:val="ListParagraph"/>
        <w:ind w:left="0"/>
        <w:rPr>
          <w:i/>
        </w:rPr>
      </w:pPr>
      <w:r w:rsidRPr="00B8229D">
        <w:rPr>
          <w:i/>
        </w:rPr>
        <w:t>Key priorities of the National Improvement Framework</w:t>
      </w:r>
    </w:p>
    <w:p w14:paraId="1F8E36EF" w14:textId="77777777" w:rsidR="00B8229D" w:rsidRPr="00E91CBF" w:rsidRDefault="00B8229D" w:rsidP="00B8229D">
      <w:pPr>
        <w:pStyle w:val="ListParagraph"/>
        <w:numPr>
          <w:ilvl w:val="0"/>
          <w:numId w:val="2"/>
        </w:numPr>
        <w:ind w:left="360"/>
        <w:rPr>
          <w:szCs w:val="24"/>
          <w:highlight w:val="yellow"/>
        </w:rPr>
      </w:pPr>
      <w:r w:rsidRPr="00E91CBF">
        <w:rPr>
          <w:szCs w:val="24"/>
          <w:highlight w:val="yellow"/>
        </w:rPr>
        <w:t>Placing the human rights and needs of every child and young person at the centre of education</w:t>
      </w:r>
      <w:r w:rsidR="00E91CBF">
        <w:rPr>
          <w:szCs w:val="24"/>
          <w:highlight w:val="yellow"/>
        </w:rPr>
        <w:t>.</w:t>
      </w:r>
    </w:p>
    <w:p w14:paraId="2DDE2DC4" w14:textId="77777777" w:rsidR="00B8229D" w:rsidRPr="00097231" w:rsidRDefault="00B8229D" w:rsidP="00B8229D">
      <w:pPr>
        <w:pStyle w:val="ListParagraph"/>
        <w:numPr>
          <w:ilvl w:val="0"/>
          <w:numId w:val="2"/>
        </w:numPr>
        <w:ind w:left="360"/>
        <w:rPr>
          <w:szCs w:val="24"/>
        </w:rPr>
      </w:pPr>
      <w:r w:rsidRPr="00097231">
        <w:rPr>
          <w:szCs w:val="24"/>
        </w:rPr>
        <w:t>Improvement in children and young people’s health and wellbeing</w:t>
      </w:r>
      <w:r w:rsidR="00E91CBF">
        <w:rPr>
          <w:szCs w:val="24"/>
        </w:rPr>
        <w:t>.</w:t>
      </w:r>
    </w:p>
    <w:p w14:paraId="3F8E81DC" w14:textId="77777777" w:rsidR="00B8229D" w:rsidRPr="00097231" w:rsidRDefault="00B8229D" w:rsidP="00B8229D">
      <w:pPr>
        <w:pStyle w:val="ListParagraph"/>
        <w:numPr>
          <w:ilvl w:val="0"/>
          <w:numId w:val="2"/>
        </w:numPr>
        <w:ind w:left="360"/>
        <w:rPr>
          <w:szCs w:val="24"/>
        </w:rPr>
      </w:pPr>
      <w:r w:rsidRPr="00097231">
        <w:rPr>
          <w:szCs w:val="24"/>
        </w:rPr>
        <w:t>Closing the attainment gap between the most and least disadvantaged children and young people</w:t>
      </w:r>
      <w:r w:rsidR="00E91CBF">
        <w:rPr>
          <w:szCs w:val="24"/>
        </w:rPr>
        <w:t>.</w:t>
      </w:r>
    </w:p>
    <w:p w14:paraId="59189D9A" w14:textId="77777777" w:rsidR="00B8229D" w:rsidRPr="00097231" w:rsidRDefault="00B8229D" w:rsidP="00B8229D">
      <w:pPr>
        <w:pStyle w:val="ListParagraph"/>
        <w:numPr>
          <w:ilvl w:val="0"/>
          <w:numId w:val="2"/>
        </w:numPr>
        <w:ind w:left="360"/>
        <w:rPr>
          <w:szCs w:val="24"/>
        </w:rPr>
      </w:pPr>
      <w:r w:rsidRPr="00097231">
        <w:rPr>
          <w:szCs w:val="24"/>
        </w:rPr>
        <w:t>Improvement in skills and sustained, positive school-leaver destinations for all young people</w:t>
      </w:r>
      <w:r w:rsidR="00E91CBF">
        <w:rPr>
          <w:szCs w:val="24"/>
        </w:rPr>
        <w:t>.</w:t>
      </w:r>
    </w:p>
    <w:p w14:paraId="2062FE21" w14:textId="77777777" w:rsidR="00B8229D" w:rsidRDefault="00B8229D" w:rsidP="00B8229D">
      <w:pPr>
        <w:pStyle w:val="ListParagraph"/>
        <w:numPr>
          <w:ilvl w:val="0"/>
          <w:numId w:val="2"/>
        </w:numPr>
        <w:ind w:left="360"/>
      </w:pPr>
      <w:r>
        <w:t>Improvement in attainment, particularly in literacy and numeracy.</w:t>
      </w:r>
    </w:p>
    <w:p w14:paraId="10BC0205" w14:textId="77777777" w:rsidR="00B8229D" w:rsidRDefault="00B8229D" w:rsidP="00B8229D"/>
    <w:p w14:paraId="17A63EFA" w14:textId="77777777" w:rsidR="00B8229D" w:rsidRPr="00B8229D" w:rsidRDefault="00B8229D" w:rsidP="00B8229D">
      <w:pPr>
        <w:rPr>
          <w:bCs/>
          <w:i/>
          <w:szCs w:val="24"/>
        </w:rPr>
      </w:pPr>
      <w:r w:rsidRPr="00B8229D">
        <w:rPr>
          <w:bCs/>
          <w:i/>
        </w:rPr>
        <w:t>The drivers of improvement in the outcomes achieved by children and young people through education are:</w:t>
      </w:r>
    </w:p>
    <w:p w14:paraId="5FCAC965" w14:textId="77777777" w:rsidR="00B8229D" w:rsidRDefault="00B8229D" w:rsidP="00B8229D">
      <w:pPr>
        <w:pStyle w:val="ListParagraph"/>
        <w:numPr>
          <w:ilvl w:val="0"/>
          <w:numId w:val="1"/>
        </w:numPr>
        <w:rPr>
          <w:rFonts w:asciiTheme="minorHAnsi" w:eastAsiaTheme="minorEastAsia" w:hAnsiTheme="minorHAnsi" w:cstheme="minorBidi"/>
          <w:szCs w:val="24"/>
        </w:rPr>
      </w:pPr>
      <w:r w:rsidRPr="63A890B3">
        <w:rPr>
          <w:rFonts w:eastAsia="Arial" w:cs="Arial"/>
          <w:szCs w:val="24"/>
        </w:rPr>
        <w:t xml:space="preserve">School </w:t>
      </w:r>
      <w:r w:rsidRPr="00E91CBF">
        <w:rPr>
          <w:rFonts w:eastAsia="Arial" w:cs="Arial"/>
          <w:szCs w:val="24"/>
          <w:highlight w:val="yellow"/>
        </w:rPr>
        <w:t>and ELC</w:t>
      </w:r>
      <w:r w:rsidRPr="63A890B3">
        <w:rPr>
          <w:rFonts w:eastAsia="Arial" w:cs="Arial"/>
          <w:szCs w:val="24"/>
        </w:rPr>
        <w:t xml:space="preserve"> leadership</w:t>
      </w:r>
    </w:p>
    <w:p w14:paraId="019D19F6" w14:textId="77777777" w:rsidR="00B8229D" w:rsidRDefault="00B8229D" w:rsidP="00B8229D">
      <w:pPr>
        <w:pStyle w:val="ListParagraph"/>
        <w:numPr>
          <w:ilvl w:val="0"/>
          <w:numId w:val="1"/>
        </w:numPr>
        <w:rPr>
          <w:rFonts w:asciiTheme="minorHAnsi" w:eastAsiaTheme="minorEastAsia" w:hAnsiTheme="minorHAnsi" w:cstheme="minorBidi"/>
          <w:szCs w:val="24"/>
        </w:rPr>
      </w:pPr>
      <w:r w:rsidRPr="63A890B3">
        <w:rPr>
          <w:rFonts w:eastAsia="Arial" w:cs="Arial"/>
          <w:szCs w:val="24"/>
        </w:rPr>
        <w:t xml:space="preserve">Teacher </w:t>
      </w:r>
      <w:r w:rsidRPr="00E91CBF">
        <w:rPr>
          <w:rFonts w:eastAsia="Arial" w:cs="Arial"/>
          <w:szCs w:val="24"/>
          <w:highlight w:val="yellow"/>
        </w:rPr>
        <w:t>and practitioner</w:t>
      </w:r>
      <w:r w:rsidRPr="63A890B3">
        <w:rPr>
          <w:rFonts w:eastAsia="Arial" w:cs="Arial"/>
          <w:szCs w:val="24"/>
        </w:rPr>
        <w:t xml:space="preserve"> professionalism </w:t>
      </w:r>
    </w:p>
    <w:p w14:paraId="02F9A5EC" w14:textId="77777777" w:rsidR="00B8229D" w:rsidRDefault="00B8229D" w:rsidP="00B8229D">
      <w:pPr>
        <w:pStyle w:val="ListParagraph"/>
        <w:numPr>
          <w:ilvl w:val="0"/>
          <w:numId w:val="1"/>
        </w:numPr>
        <w:rPr>
          <w:rFonts w:asciiTheme="minorHAnsi" w:eastAsiaTheme="minorEastAsia" w:hAnsiTheme="minorHAnsi" w:cstheme="minorBidi"/>
          <w:szCs w:val="24"/>
        </w:rPr>
      </w:pPr>
      <w:r w:rsidRPr="63A890B3">
        <w:rPr>
          <w:rFonts w:eastAsia="Arial" w:cs="Arial"/>
          <w:szCs w:val="24"/>
        </w:rPr>
        <w:t>Parent</w:t>
      </w:r>
      <w:r w:rsidRPr="00E91CBF">
        <w:rPr>
          <w:rFonts w:eastAsia="Arial" w:cs="Arial"/>
          <w:szCs w:val="24"/>
          <w:highlight w:val="yellow"/>
        </w:rPr>
        <w:t>/carer involvement and</w:t>
      </w:r>
      <w:r w:rsidRPr="63A890B3">
        <w:rPr>
          <w:rFonts w:eastAsia="Arial" w:cs="Arial"/>
          <w:szCs w:val="24"/>
        </w:rPr>
        <w:t xml:space="preserve"> engagement</w:t>
      </w:r>
    </w:p>
    <w:p w14:paraId="3E5F0103" w14:textId="77777777" w:rsidR="00B8229D" w:rsidRDefault="00B8229D" w:rsidP="00B8229D">
      <w:pPr>
        <w:pStyle w:val="ListParagraph"/>
        <w:numPr>
          <w:ilvl w:val="0"/>
          <w:numId w:val="1"/>
        </w:numPr>
        <w:rPr>
          <w:rFonts w:asciiTheme="minorHAnsi" w:eastAsiaTheme="minorEastAsia" w:hAnsiTheme="minorHAnsi" w:cstheme="minorBidi"/>
          <w:szCs w:val="24"/>
        </w:rPr>
      </w:pPr>
      <w:r w:rsidRPr="00E91CBF">
        <w:rPr>
          <w:rFonts w:eastAsia="Arial" w:cs="Arial"/>
          <w:szCs w:val="24"/>
          <w:highlight w:val="yellow"/>
        </w:rPr>
        <w:t>Curriculum and</w:t>
      </w:r>
      <w:r w:rsidRPr="63A890B3">
        <w:rPr>
          <w:rFonts w:eastAsia="Arial" w:cs="Arial"/>
          <w:szCs w:val="24"/>
        </w:rPr>
        <w:t xml:space="preserve"> assessment </w:t>
      </w:r>
    </w:p>
    <w:p w14:paraId="5DB6B0DB" w14:textId="77777777" w:rsidR="00B8229D" w:rsidRDefault="00B8229D" w:rsidP="00B8229D">
      <w:pPr>
        <w:pStyle w:val="ListParagraph"/>
        <w:numPr>
          <w:ilvl w:val="0"/>
          <w:numId w:val="1"/>
        </w:numPr>
        <w:rPr>
          <w:rFonts w:asciiTheme="minorHAnsi" w:eastAsiaTheme="minorEastAsia" w:hAnsiTheme="minorHAnsi" w:cstheme="minorBidi"/>
          <w:szCs w:val="24"/>
        </w:rPr>
      </w:pPr>
      <w:r w:rsidRPr="63A890B3">
        <w:rPr>
          <w:rFonts w:eastAsia="Arial" w:cs="Arial"/>
          <w:szCs w:val="24"/>
        </w:rPr>
        <w:t xml:space="preserve">School </w:t>
      </w:r>
      <w:r w:rsidRPr="00E91CBF">
        <w:rPr>
          <w:rFonts w:eastAsia="Arial" w:cs="Arial"/>
          <w:szCs w:val="24"/>
          <w:highlight w:val="yellow"/>
        </w:rPr>
        <w:t>and ELC</w:t>
      </w:r>
      <w:r w:rsidRPr="63A890B3">
        <w:rPr>
          <w:rFonts w:eastAsia="Arial" w:cs="Arial"/>
          <w:szCs w:val="24"/>
        </w:rPr>
        <w:t xml:space="preserve"> improvement</w:t>
      </w:r>
    </w:p>
    <w:p w14:paraId="44ABAE34" w14:textId="77777777" w:rsidR="00B8229D" w:rsidRPr="00F3406B" w:rsidRDefault="00B8229D" w:rsidP="00B8229D">
      <w:pPr>
        <w:pStyle w:val="ListParagraph"/>
        <w:numPr>
          <w:ilvl w:val="0"/>
          <w:numId w:val="1"/>
        </w:numPr>
        <w:rPr>
          <w:rFonts w:asciiTheme="minorHAnsi" w:eastAsiaTheme="minorEastAsia" w:hAnsiTheme="minorHAnsi" w:cstheme="minorBidi"/>
          <w:szCs w:val="24"/>
        </w:rPr>
      </w:pPr>
      <w:r w:rsidRPr="00F3406B">
        <w:rPr>
          <w:rFonts w:eastAsia="Arial" w:cs="Arial"/>
        </w:rPr>
        <w:t>Performance information</w:t>
      </w:r>
    </w:p>
    <w:p w14:paraId="0946E945" w14:textId="77777777" w:rsidR="00B8229D" w:rsidRDefault="00B8229D" w:rsidP="00B8229D">
      <w:pPr>
        <w:pStyle w:val="ListParagraph"/>
        <w:rPr>
          <w:szCs w:val="24"/>
        </w:rPr>
      </w:pPr>
    </w:p>
    <w:p w14:paraId="006FB085" w14:textId="41AA1B5D" w:rsidR="00E91CBF" w:rsidRPr="00B8229D" w:rsidRDefault="00B8229D" w:rsidP="00B8229D">
      <w:pPr>
        <w:rPr>
          <w:rFonts w:eastAsia="Arial" w:cs="Arial"/>
          <w:b/>
          <w:bCs/>
          <w:color w:val="5B9AD5"/>
        </w:rPr>
      </w:pPr>
      <w:r w:rsidRPr="6F8B032D">
        <w:rPr>
          <w:rFonts w:eastAsia="Arial" w:cs="Arial"/>
          <w:b/>
          <w:bCs/>
          <w:color w:val="5B9AD5"/>
        </w:rPr>
        <w:t>Scottish Attainment Challenge and Pupil Equ</w:t>
      </w:r>
      <w:r w:rsidR="006C265D">
        <w:rPr>
          <w:rFonts w:eastAsia="Arial" w:cs="Arial"/>
          <w:b/>
          <w:bCs/>
          <w:color w:val="5B9AD5"/>
        </w:rPr>
        <w:t>i</w:t>
      </w:r>
      <w:r w:rsidRPr="6F8B032D">
        <w:rPr>
          <w:rFonts w:eastAsia="Arial" w:cs="Arial"/>
          <w:b/>
          <w:bCs/>
          <w:color w:val="5B9AD5"/>
        </w:rPr>
        <w:t xml:space="preserve">ty Fund </w:t>
      </w:r>
      <w:r>
        <w:rPr>
          <w:rFonts w:eastAsia="Arial" w:cs="Arial"/>
          <w:b/>
          <w:bCs/>
          <w:color w:val="5B9AD5"/>
        </w:rPr>
        <w:t xml:space="preserve">(PEF) </w:t>
      </w:r>
      <w:r w:rsidRPr="6F8B032D">
        <w:rPr>
          <w:rFonts w:eastAsia="Arial" w:cs="Arial"/>
          <w:b/>
          <w:bCs/>
          <w:color w:val="5B9AD5"/>
        </w:rPr>
        <w:t xml:space="preserve">planning </w:t>
      </w:r>
    </w:p>
    <w:p w14:paraId="57D3977C" w14:textId="77777777" w:rsidR="00B8229D" w:rsidRDefault="00482A59" w:rsidP="00B8229D">
      <w:hyperlink r:id="rId13">
        <w:r w:rsidR="00B8229D" w:rsidRPr="7150C1E8">
          <w:rPr>
            <w:color w:val="0000FF"/>
            <w:u w:val="single"/>
          </w:rPr>
          <w:t>SAC Framework for Recovery and Accelerating Progress</w:t>
        </w:r>
      </w:hyperlink>
      <w:r w:rsidR="009D7DFA">
        <w:t xml:space="preserve">, </w:t>
      </w:r>
      <w:r w:rsidR="00B8229D">
        <w:t>published on 30 March 2022</w:t>
      </w:r>
      <w:r w:rsidR="009D7DFA">
        <w:t>,</w:t>
      </w:r>
      <w:r w:rsidR="00B8229D">
        <w:t xml:space="preserve"> sets out the refreshed mission of the Scottish Attainment Challenge to use education to improve outcomes for children and young people impacted by poverty, with a focus on tackling the poverty-related attainment gap. </w:t>
      </w:r>
    </w:p>
    <w:p w14:paraId="6B676097" w14:textId="77777777" w:rsidR="00B8229D" w:rsidRDefault="00B8229D" w:rsidP="00B8229D"/>
    <w:p w14:paraId="77F15F69" w14:textId="77777777" w:rsidR="00E91CBF" w:rsidRDefault="00B8229D" w:rsidP="00B8229D">
      <w:pPr>
        <w:rPr>
          <w:rStyle w:val="Hyperlink"/>
        </w:rPr>
      </w:pPr>
      <w:r>
        <w:t xml:space="preserve">Headteachers are empowered to identify and implement approaches to using PEF in their local settings. The guidance notes that plans for PEF should be included in School Improvement Plans and should provide clarity to stakeholders on how PEF is being used and its expected impact. For further guidance in relation to PEF planning </w:t>
      </w:r>
      <w:r>
        <w:rPr>
          <w:szCs w:val="24"/>
        </w:rPr>
        <w:t xml:space="preserve">see </w:t>
      </w:r>
      <w:hyperlink r:id="rId14" w:history="1">
        <w:r w:rsidR="00E91CBF" w:rsidRPr="00E91CBF">
          <w:rPr>
            <w:rStyle w:val="Hyperlink"/>
            <w:szCs w:val="24"/>
          </w:rPr>
          <w:t>PEF National Operational Guidance 2022</w:t>
        </w:r>
      </w:hyperlink>
      <w:r w:rsidR="00E91CBF">
        <w:rPr>
          <w:szCs w:val="24"/>
        </w:rPr>
        <w:t>.</w:t>
      </w:r>
    </w:p>
    <w:p w14:paraId="01E64858" w14:textId="77777777" w:rsidR="00E91CBF" w:rsidRPr="00E91CBF" w:rsidRDefault="00E91CBF" w:rsidP="00B8229D">
      <w:pPr>
        <w:rPr>
          <w:color w:val="0000FF"/>
          <w:u w:val="single"/>
        </w:rPr>
      </w:pPr>
    </w:p>
    <w:p w14:paraId="7A71FB8E" w14:textId="77777777" w:rsidR="00E91CBF" w:rsidRPr="00E91CBF" w:rsidRDefault="00B8229D" w:rsidP="00E91CBF">
      <w:r w:rsidRPr="7150C1E8">
        <w:rPr>
          <w:rFonts w:eastAsia="Arial" w:cs="Arial"/>
          <w:b/>
          <w:bCs/>
          <w:color w:val="5B9AD5"/>
        </w:rPr>
        <w:lastRenderedPageBreak/>
        <w:t xml:space="preserve">Other </w:t>
      </w:r>
      <w:r w:rsidR="00E91CBF">
        <w:rPr>
          <w:rFonts w:eastAsia="Arial" w:cs="Arial"/>
          <w:b/>
          <w:bCs/>
          <w:color w:val="5B9AD5"/>
        </w:rPr>
        <w:t>relevant publications</w:t>
      </w:r>
    </w:p>
    <w:p w14:paraId="01CC8182" w14:textId="77777777" w:rsidR="00B8229D" w:rsidRDefault="00B8229D" w:rsidP="009B726A">
      <w:pPr>
        <w:tabs>
          <w:tab w:val="left" w:pos="720"/>
          <w:tab w:val="left" w:pos="1440"/>
          <w:tab w:val="left" w:pos="2160"/>
          <w:tab w:val="left" w:pos="2880"/>
          <w:tab w:val="right" w:pos="9907"/>
          <w:tab w:val="right" w:pos="10170"/>
        </w:tabs>
        <w:rPr>
          <w:rFonts w:cs="Arial"/>
        </w:rPr>
      </w:pPr>
      <w:r w:rsidRPr="7150C1E8">
        <w:rPr>
          <w:rFonts w:cs="Arial"/>
        </w:rPr>
        <w:t>The following publications may be helpful points of reference in framing improvement priorities for 2022-23</w:t>
      </w:r>
      <w:r w:rsidR="00E91CBF">
        <w:rPr>
          <w:rFonts w:cs="Arial"/>
        </w:rPr>
        <w:t>.</w:t>
      </w:r>
    </w:p>
    <w:p w14:paraId="1D9119A4" w14:textId="77777777" w:rsidR="00E91CBF" w:rsidRDefault="00E91CBF" w:rsidP="009B726A">
      <w:pPr>
        <w:tabs>
          <w:tab w:val="left" w:pos="720"/>
          <w:tab w:val="left" w:pos="1440"/>
          <w:tab w:val="left" w:pos="2160"/>
          <w:tab w:val="left" w:pos="2880"/>
          <w:tab w:val="right" w:pos="9907"/>
          <w:tab w:val="right" w:pos="10170"/>
        </w:tabs>
      </w:pPr>
    </w:p>
    <w:p w14:paraId="62917202" w14:textId="77777777" w:rsidR="00B8229D" w:rsidRPr="00E91CBF" w:rsidRDefault="00482A59" w:rsidP="009B726A">
      <w:pPr>
        <w:pStyle w:val="ListParagraph"/>
        <w:numPr>
          <w:ilvl w:val="0"/>
          <w:numId w:val="7"/>
        </w:numPr>
        <w:tabs>
          <w:tab w:val="left" w:pos="720"/>
          <w:tab w:val="left" w:pos="1440"/>
          <w:tab w:val="left" w:pos="2160"/>
          <w:tab w:val="left" w:pos="2880"/>
          <w:tab w:val="right" w:pos="9907"/>
          <w:tab w:val="right" w:pos="10170"/>
        </w:tabs>
        <w:rPr>
          <w:rFonts w:cs="Arial"/>
        </w:rPr>
      </w:pPr>
      <w:hyperlink r:id="rId15">
        <w:r w:rsidR="00B8229D" w:rsidRPr="7150C1E8">
          <w:rPr>
            <w:rFonts w:cs="Arial"/>
            <w:color w:val="0000FF"/>
            <w:u w:val="single"/>
          </w:rPr>
          <w:t>The Scottish Attainment Challenge Framework for Recovery and Accelerating Progress - gov.scot (www.gov.scot)</w:t>
        </w:r>
      </w:hyperlink>
    </w:p>
    <w:p w14:paraId="00CFA7DF" w14:textId="77777777" w:rsidR="00E91CBF" w:rsidRPr="00E91CBF" w:rsidRDefault="00E91CBF" w:rsidP="009B726A">
      <w:pPr>
        <w:pStyle w:val="ListParagraph"/>
        <w:rPr>
          <w:rFonts w:cs="Arial"/>
        </w:rPr>
      </w:pPr>
    </w:p>
    <w:p w14:paraId="3967D421" w14:textId="77777777" w:rsidR="00B8229D" w:rsidRDefault="00482A59" w:rsidP="009B726A">
      <w:pPr>
        <w:pStyle w:val="ListParagraph"/>
        <w:numPr>
          <w:ilvl w:val="0"/>
          <w:numId w:val="7"/>
        </w:numPr>
        <w:rPr>
          <w:rFonts w:cs="Arial"/>
        </w:rPr>
      </w:pPr>
      <w:hyperlink r:id="rId16">
        <w:r w:rsidR="00B8229D" w:rsidRPr="7150C1E8">
          <w:rPr>
            <w:color w:val="0000FF"/>
            <w:u w:val="single"/>
          </w:rPr>
          <w:t>Pupil Equity Fund: national operational guidance 2022 - gov.scot (www.gov.scot)</w:t>
        </w:r>
      </w:hyperlink>
    </w:p>
    <w:p w14:paraId="5F41BFB8" w14:textId="77777777" w:rsidR="00E91CBF" w:rsidRDefault="00E91CBF" w:rsidP="009B726A">
      <w:pPr>
        <w:pStyle w:val="ListParagraph"/>
        <w:tabs>
          <w:tab w:val="left" w:pos="720"/>
          <w:tab w:val="left" w:pos="1440"/>
          <w:tab w:val="left" w:pos="2160"/>
          <w:tab w:val="left" w:pos="2880"/>
          <w:tab w:val="right" w:pos="9907"/>
          <w:tab w:val="right" w:pos="10170"/>
        </w:tabs>
      </w:pPr>
    </w:p>
    <w:p w14:paraId="7864D0F4" w14:textId="77777777" w:rsidR="00B8229D" w:rsidRPr="00E91CBF" w:rsidRDefault="00482A59" w:rsidP="009B726A">
      <w:pPr>
        <w:pStyle w:val="ListParagraph"/>
        <w:numPr>
          <w:ilvl w:val="0"/>
          <w:numId w:val="7"/>
        </w:numPr>
        <w:tabs>
          <w:tab w:val="left" w:pos="720"/>
          <w:tab w:val="left" w:pos="1440"/>
          <w:tab w:val="left" w:pos="2160"/>
          <w:tab w:val="left" w:pos="2880"/>
          <w:tab w:val="right" w:pos="9907"/>
          <w:tab w:val="right" w:pos="10170"/>
        </w:tabs>
        <w:rPr>
          <w:rStyle w:val="Hyperlink"/>
          <w:color w:val="auto"/>
          <w:u w:val="none"/>
        </w:rPr>
      </w:pPr>
      <w:hyperlink r:id="rId17">
        <w:r w:rsidR="00B8229D" w:rsidRPr="7150C1E8">
          <w:rPr>
            <w:rStyle w:val="Hyperlink"/>
          </w:rPr>
          <w:t>Pupil Equity Funding looking, inwards, outwards, forwards March 2022</w:t>
        </w:r>
      </w:hyperlink>
    </w:p>
    <w:p w14:paraId="4EB11C0C" w14:textId="77777777" w:rsidR="00E91CBF" w:rsidRDefault="00E91CBF" w:rsidP="009B726A">
      <w:pPr>
        <w:pStyle w:val="ListParagraph"/>
        <w:tabs>
          <w:tab w:val="left" w:pos="720"/>
          <w:tab w:val="left" w:pos="1440"/>
          <w:tab w:val="left" w:pos="2160"/>
          <w:tab w:val="left" w:pos="2880"/>
          <w:tab w:val="right" w:pos="9907"/>
          <w:tab w:val="right" w:pos="10170"/>
        </w:tabs>
        <w:rPr>
          <w:rStyle w:val="Hyperlink"/>
          <w:color w:val="auto"/>
          <w:u w:val="none"/>
        </w:rPr>
      </w:pPr>
    </w:p>
    <w:p w14:paraId="7B8DD87D" w14:textId="77777777" w:rsidR="00E91CBF" w:rsidRPr="00E91CBF" w:rsidRDefault="00482A59" w:rsidP="009B726A">
      <w:pPr>
        <w:pStyle w:val="ListParagraph"/>
        <w:numPr>
          <w:ilvl w:val="0"/>
          <w:numId w:val="7"/>
        </w:numPr>
        <w:tabs>
          <w:tab w:val="left" w:pos="720"/>
          <w:tab w:val="left" w:pos="1440"/>
          <w:tab w:val="left" w:pos="2160"/>
          <w:tab w:val="left" w:pos="2880"/>
          <w:tab w:val="right" w:pos="9907"/>
          <w:tab w:val="right" w:pos="10170"/>
        </w:tabs>
        <w:rPr>
          <w:rStyle w:val="Hyperlink"/>
          <w:color w:val="auto"/>
          <w:u w:val="none"/>
        </w:rPr>
      </w:pPr>
      <w:hyperlink r:id="rId18" w:anchor=":~:text=Tackling%20the%20Poverty-Related%20Attainment%20Gap%20%E2%80%93%20Our%20Theory,resources%20and%20activities%20to%20a%20programme%E2%80%99s%20intended%20outcome." w:history="1">
        <w:r w:rsidR="00E91CBF" w:rsidRPr="00E91CBF">
          <w:rPr>
            <w:rStyle w:val="Hyperlink"/>
          </w:rPr>
          <w:t>SAC Theory of Change Logic Model</w:t>
        </w:r>
      </w:hyperlink>
    </w:p>
    <w:p w14:paraId="0BB73557" w14:textId="77777777" w:rsidR="00E91CBF" w:rsidRPr="00E91CBF" w:rsidRDefault="00E91CBF" w:rsidP="009B726A">
      <w:pPr>
        <w:pStyle w:val="ListParagraph"/>
        <w:tabs>
          <w:tab w:val="left" w:pos="720"/>
          <w:tab w:val="left" w:pos="1440"/>
          <w:tab w:val="left" w:pos="2160"/>
          <w:tab w:val="left" w:pos="2880"/>
          <w:tab w:val="right" w:pos="9907"/>
          <w:tab w:val="right" w:pos="10170"/>
        </w:tabs>
        <w:rPr>
          <w:rStyle w:val="Hyperlink"/>
          <w:color w:val="auto"/>
          <w:u w:val="none"/>
        </w:rPr>
      </w:pPr>
    </w:p>
    <w:p w14:paraId="0E85FCE3" w14:textId="77777777" w:rsidR="00E91CBF" w:rsidRDefault="00482A59" w:rsidP="009B726A">
      <w:pPr>
        <w:pStyle w:val="ListParagraph"/>
        <w:numPr>
          <w:ilvl w:val="0"/>
          <w:numId w:val="7"/>
        </w:numPr>
        <w:tabs>
          <w:tab w:val="left" w:pos="720"/>
          <w:tab w:val="left" w:pos="1440"/>
          <w:tab w:val="left" w:pos="2160"/>
          <w:tab w:val="left" w:pos="2880"/>
          <w:tab w:val="right" w:pos="9907"/>
          <w:tab w:val="right" w:pos="10170"/>
        </w:tabs>
        <w:rPr>
          <w:rFonts w:cs="Arial"/>
          <w:u w:val="single"/>
        </w:rPr>
      </w:pPr>
      <w:hyperlink r:id="rId19">
        <w:r w:rsidR="00E91CBF" w:rsidRPr="7150C1E8">
          <w:rPr>
            <w:rFonts w:cs="Arial"/>
            <w:u w:val="single"/>
          </w:rPr>
          <w:t>Realising the Ambition | Learning resources | National Improvement Hub (education.gov.scot)</w:t>
        </w:r>
      </w:hyperlink>
    </w:p>
    <w:p w14:paraId="45433F5F" w14:textId="77777777" w:rsidR="00E91CBF" w:rsidRDefault="00E91CBF" w:rsidP="009B726A">
      <w:pPr>
        <w:pStyle w:val="ListParagraph"/>
        <w:tabs>
          <w:tab w:val="left" w:pos="720"/>
          <w:tab w:val="left" w:pos="1440"/>
          <w:tab w:val="left" w:pos="2160"/>
          <w:tab w:val="left" w:pos="2880"/>
          <w:tab w:val="right" w:pos="9907"/>
          <w:tab w:val="right" w:pos="10170"/>
        </w:tabs>
      </w:pPr>
    </w:p>
    <w:p w14:paraId="3FE2EE1D" w14:textId="77777777" w:rsidR="00B8229D" w:rsidRDefault="00482A59" w:rsidP="009B726A">
      <w:pPr>
        <w:pStyle w:val="ListParagraph"/>
        <w:numPr>
          <w:ilvl w:val="0"/>
          <w:numId w:val="7"/>
        </w:numPr>
        <w:tabs>
          <w:tab w:val="left" w:pos="720"/>
          <w:tab w:val="left" w:pos="1440"/>
          <w:tab w:val="left" w:pos="2160"/>
          <w:tab w:val="left" w:pos="2880"/>
          <w:tab w:val="right" w:pos="9907"/>
          <w:tab w:val="right" w:pos="10170"/>
        </w:tabs>
      </w:pPr>
      <w:hyperlink r:id="rId20">
        <w:r w:rsidR="00B8229D" w:rsidRPr="7150C1E8">
          <w:rPr>
            <w:color w:val="0000FF"/>
            <w:u w:val="single"/>
          </w:rPr>
          <w:t>Embedding race equality in schools - gov.scot (www.gov.scot)</w:t>
        </w:r>
      </w:hyperlink>
    </w:p>
    <w:p w14:paraId="7FD596C3" w14:textId="77777777" w:rsidR="00E91CBF" w:rsidRPr="00E91CBF" w:rsidRDefault="00E91CBF" w:rsidP="009B726A">
      <w:pPr>
        <w:pStyle w:val="ListParagraph"/>
        <w:tabs>
          <w:tab w:val="left" w:pos="720"/>
          <w:tab w:val="left" w:pos="1440"/>
          <w:tab w:val="left" w:pos="2160"/>
          <w:tab w:val="left" w:pos="2880"/>
          <w:tab w:val="right" w:pos="9907"/>
          <w:tab w:val="right" w:pos="10170"/>
        </w:tabs>
        <w:rPr>
          <w:rFonts w:eastAsiaTheme="minorEastAsia" w:cs="Arial"/>
          <w:u w:val="single"/>
        </w:rPr>
      </w:pPr>
    </w:p>
    <w:p w14:paraId="4005BAF0" w14:textId="77777777" w:rsidR="00B8229D" w:rsidRDefault="00482A59" w:rsidP="009B726A">
      <w:pPr>
        <w:pStyle w:val="ListParagraph"/>
        <w:numPr>
          <w:ilvl w:val="0"/>
          <w:numId w:val="7"/>
        </w:numPr>
        <w:tabs>
          <w:tab w:val="left" w:pos="720"/>
          <w:tab w:val="left" w:pos="1440"/>
          <w:tab w:val="left" w:pos="2160"/>
          <w:tab w:val="left" w:pos="2880"/>
          <w:tab w:val="right" w:pos="9907"/>
          <w:tab w:val="right" w:pos="10170"/>
        </w:tabs>
        <w:rPr>
          <w:rFonts w:eastAsiaTheme="minorEastAsia" w:cs="Arial"/>
          <w:u w:val="single"/>
        </w:rPr>
      </w:pPr>
      <w:hyperlink r:id="rId21">
        <w:r w:rsidR="00B8229D" w:rsidRPr="3F5AFABF">
          <w:rPr>
            <w:rFonts w:eastAsiaTheme="minorEastAsia" w:cs="Arial"/>
            <w:u w:val="single"/>
          </w:rPr>
          <w:t xml:space="preserve">Decision-making: children and young people's participation - </w:t>
        </w:r>
      </w:hyperlink>
      <w:hyperlink r:id="rId22">
        <w:r w:rsidR="00B8229D" w:rsidRPr="3F5AFABF">
          <w:rPr>
            <w:rFonts w:eastAsiaTheme="minorEastAsia" w:cs="Arial"/>
            <w:u w:val="single"/>
          </w:rPr>
          <w:t>gov.scot</w:t>
        </w:r>
      </w:hyperlink>
      <w:hyperlink r:id="rId23">
        <w:r w:rsidR="00B8229D" w:rsidRPr="3F5AFABF">
          <w:rPr>
            <w:rFonts w:eastAsiaTheme="minorEastAsia" w:cs="Arial"/>
            <w:u w:val="single"/>
          </w:rPr>
          <w:t xml:space="preserve"> (www.gov.scot)</w:t>
        </w:r>
      </w:hyperlink>
    </w:p>
    <w:p w14:paraId="36E16C05" w14:textId="77777777" w:rsidR="00E91CBF" w:rsidRPr="00E91CBF" w:rsidRDefault="00E91CBF" w:rsidP="009B726A">
      <w:pPr>
        <w:pStyle w:val="ListParagraph"/>
        <w:tabs>
          <w:tab w:val="left" w:pos="720"/>
          <w:tab w:val="left" w:pos="1440"/>
          <w:tab w:val="left" w:pos="2160"/>
          <w:tab w:val="left" w:pos="2880"/>
          <w:tab w:val="right" w:pos="9907"/>
          <w:tab w:val="right" w:pos="10170"/>
        </w:tabs>
        <w:rPr>
          <w:color w:val="0000FF"/>
          <w:u w:val="single"/>
        </w:rPr>
      </w:pPr>
    </w:p>
    <w:p w14:paraId="00F9C5B3" w14:textId="77777777" w:rsidR="00B8229D" w:rsidRDefault="00482A59" w:rsidP="009B726A">
      <w:pPr>
        <w:pStyle w:val="ListParagraph"/>
        <w:numPr>
          <w:ilvl w:val="0"/>
          <w:numId w:val="7"/>
        </w:numPr>
        <w:tabs>
          <w:tab w:val="left" w:pos="720"/>
          <w:tab w:val="left" w:pos="1440"/>
          <w:tab w:val="left" w:pos="2160"/>
          <w:tab w:val="left" w:pos="2880"/>
          <w:tab w:val="right" w:pos="9907"/>
          <w:tab w:val="right" w:pos="10170"/>
        </w:tabs>
        <w:rPr>
          <w:rStyle w:val="Hyperlink"/>
        </w:rPr>
      </w:pPr>
      <w:hyperlink r:id="rId24" w:history="1">
        <w:r w:rsidR="00B8229D" w:rsidRPr="3F5AFABF">
          <w:rPr>
            <w:rStyle w:val="Hyperlink"/>
            <w:rFonts w:eastAsia="Arial" w:cs="Arial"/>
            <w:szCs w:val="24"/>
          </w:rPr>
          <w:t>Whole school and community approach to learning for sustainability (</w:t>
        </w:r>
      </w:hyperlink>
      <w:hyperlink r:id="rId25" w:history="1">
        <w:r w:rsidR="00B8229D" w:rsidRPr="3F5AFABF">
          <w:rPr>
            <w:rStyle w:val="Hyperlink"/>
            <w:rFonts w:eastAsia="Arial" w:cs="Arial"/>
            <w:szCs w:val="24"/>
          </w:rPr>
          <w:t>LfS</w:t>
        </w:r>
      </w:hyperlink>
      <w:hyperlink r:id="rId26" w:history="1">
        <w:r w:rsidR="00B8229D" w:rsidRPr="3F5AFABF">
          <w:rPr>
            <w:rStyle w:val="Hyperlink"/>
            <w:rFonts w:eastAsia="Arial" w:cs="Arial"/>
            <w:szCs w:val="24"/>
          </w:rPr>
          <w:t>) - Self-evaluation and improvement framework | Self-evaluation | National Improvement Hub (</w:t>
        </w:r>
      </w:hyperlink>
      <w:hyperlink r:id="rId27" w:history="1">
        <w:r w:rsidR="00B8229D" w:rsidRPr="3F5AFABF">
          <w:rPr>
            <w:rStyle w:val="Hyperlink"/>
            <w:rFonts w:eastAsia="Arial" w:cs="Arial"/>
            <w:szCs w:val="24"/>
          </w:rPr>
          <w:t>education.gov.scot</w:t>
        </w:r>
      </w:hyperlink>
      <w:hyperlink r:id="rId28" w:history="1">
        <w:r w:rsidR="00B8229D" w:rsidRPr="3F5AFABF">
          <w:rPr>
            <w:rStyle w:val="Hyperlink"/>
            <w:rFonts w:eastAsia="Arial" w:cs="Arial"/>
            <w:szCs w:val="24"/>
          </w:rPr>
          <w:t>)</w:t>
        </w:r>
      </w:hyperlink>
    </w:p>
    <w:p w14:paraId="09221B41" w14:textId="77777777" w:rsidR="00E91CBF" w:rsidRPr="00E91CBF" w:rsidRDefault="00E91CBF" w:rsidP="009B726A">
      <w:pPr>
        <w:pStyle w:val="ListParagraph"/>
        <w:tabs>
          <w:tab w:val="left" w:pos="720"/>
          <w:tab w:val="left" w:pos="1440"/>
          <w:tab w:val="left" w:pos="2160"/>
          <w:tab w:val="left" w:pos="2880"/>
          <w:tab w:val="right" w:pos="9907"/>
          <w:tab w:val="right" w:pos="10170"/>
        </w:tabs>
        <w:rPr>
          <w:rFonts w:cs="Arial"/>
          <w:u w:val="single"/>
        </w:rPr>
      </w:pPr>
      <w:bookmarkStart w:id="0" w:name="_GoBack"/>
      <w:bookmarkEnd w:id="0"/>
    </w:p>
    <w:p w14:paraId="7C7C3B11" w14:textId="77777777" w:rsidR="00B8229D" w:rsidRDefault="00482A59" w:rsidP="009B726A">
      <w:pPr>
        <w:pStyle w:val="ListParagraph"/>
        <w:numPr>
          <w:ilvl w:val="0"/>
          <w:numId w:val="7"/>
        </w:numPr>
        <w:tabs>
          <w:tab w:val="left" w:pos="720"/>
          <w:tab w:val="left" w:pos="1440"/>
          <w:tab w:val="left" w:pos="2160"/>
          <w:tab w:val="left" w:pos="2880"/>
          <w:tab w:val="right" w:pos="9907"/>
          <w:tab w:val="right" w:pos="10170"/>
        </w:tabs>
        <w:rPr>
          <w:rFonts w:cs="Arial"/>
          <w:u w:val="single"/>
        </w:rPr>
      </w:pPr>
      <w:hyperlink r:id="rId29">
        <w:r w:rsidR="00B8229D" w:rsidRPr="7150C1E8">
          <w:rPr>
            <w:rFonts w:cs="Arial"/>
            <w:u w:val="single"/>
          </w:rPr>
          <w:t>Change Programme ONE - The Promise</w:t>
        </w:r>
      </w:hyperlink>
    </w:p>
    <w:p w14:paraId="44F2F832" w14:textId="77777777" w:rsidR="00E91CBF" w:rsidRPr="00E91CBF" w:rsidRDefault="00E91CBF" w:rsidP="009B726A">
      <w:pPr>
        <w:pStyle w:val="ListParagraph"/>
        <w:tabs>
          <w:tab w:val="left" w:pos="720"/>
          <w:tab w:val="left" w:pos="1440"/>
          <w:tab w:val="left" w:pos="2160"/>
          <w:tab w:val="left" w:pos="2880"/>
          <w:tab w:val="right" w:pos="9907"/>
          <w:tab w:val="right" w:pos="10170"/>
        </w:tabs>
        <w:rPr>
          <w:rFonts w:cs="Arial"/>
          <w:u w:val="single"/>
        </w:rPr>
      </w:pPr>
    </w:p>
    <w:p w14:paraId="38285F85" w14:textId="77777777" w:rsidR="00B8229D" w:rsidRDefault="00482A59" w:rsidP="009B726A">
      <w:pPr>
        <w:pStyle w:val="ListParagraph"/>
        <w:numPr>
          <w:ilvl w:val="0"/>
          <w:numId w:val="7"/>
        </w:numPr>
        <w:tabs>
          <w:tab w:val="left" w:pos="720"/>
          <w:tab w:val="left" w:pos="1440"/>
          <w:tab w:val="left" w:pos="2160"/>
          <w:tab w:val="left" w:pos="2880"/>
          <w:tab w:val="right" w:pos="9907"/>
          <w:tab w:val="right" w:pos="10170"/>
        </w:tabs>
        <w:rPr>
          <w:rFonts w:cs="Arial"/>
          <w:u w:val="single"/>
        </w:rPr>
      </w:pPr>
      <w:hyperlink r:id="rId30">
        <w:r w:rsidR="00B8229D" w:rsidRPr="7150C1E8">
          <w:rPr>
            <w:rFonts w:cs="Arial"/>
            <w:u w:val="single"/>
          </w:rPr>
          <w:t>Additional Support for Learning Action Plan updated October 2021</w:t>
        </w:r>
      </w:hyperlink>
    </w:p>
    <w:p w14:paraId="7FE5447C" w14:textId="77777777" w:rsidR="00E91CBF" w:rsidRPr="00E91CBF" w:rsidRDefault="00E91CBF" w:rsidP="009B726A">
      <w:pPr>
        <w:pStyle w:val="ListParagraph"/>
        <w:tabs>
          <w:tab w:val="left" w:pos="720"/>
          <w:tab w:val="left" w:pos="1440"/>
          <w:tab w:val="left" w:pos="2160"/>
          <w:tab w:val="left" w:pos="2880"/>
          <w:tab w:val="right" w:pos="9907"/>
          <w:tab w:val="right" w:pos="10170"/>
        </w:tabs>
        <w:rPr>
          <w:rFonts w:eastAsiaTheme="minorEastAsia" w:cs="Arial"/>
        </w:rPr>
      </w:pPr>
    </w:p>
    <w:p w14:paraId="19813AB7" w14:textId="77777777" w:rsidR="00B8229D" w:rsidRDefault="00482A59" w:rsidP="009B726A">
      <w:pPr>
        <w:pStyle w:val="ListParagraph"/>
        <w:numPr>
          <w:ilvl w:val="0"/>
          <w:numId w:val="7"/>
        </w:numPr>
        <w:tabs>
          <w:tab w:val="left" w:pos="720"/>
          <w:tab w:val="left" w:pos="1440"/>
          <w:tab w:val="left" w:pos="2160"/>
          <w:tab w:val="left" w:pos="2880"/>
          <w:tab w:val="right" w:pos="9907"/>
          <w:tab w:val="right" w:pos="10170"/>
        </w:tabs>
        <w:rPr>
          <w:rFonts w:eastAsiaTheme="minorEastAsia" w:cs="Arial"/>
        </w:rPr>
      </w:pPr>
      <w:hyperlink r:id="rId31">
        <w:r w:rsidR="00B8229D" w:rsidRPr="7150C1E8">
          <w:rPr>
            <w:rFonts w:eastAsiaTheme="minorEastAsia" w:cs="Arial"/>
            <w:u w:val="single"/>
          </w:rPr>
          <w:t xml:space="preserve">Putting </w:t>
        </w:r>
      </w:hyperlink>
      <w:hyperlink r:id="rId32">
        <w:r w:rsidR="00B8229D" w:rsidRPr="7150C1E8">
          <w:rPr>
            <w:rFonts w:eastAsiaTheme="minorEastAsia" w:cs="Arial"/>
            <w:u w:val="single"/>
          </w:rPr>
          <w:t xml:space="preserve">Learners at the Centre: Towards a Future Vision for Scottish Education - </w:t>
        </w:r>
      </w:hyperlink>
      <w:hyperlink r:id="rId33">
        <w:r w:rsidR="00B8229D" w:rsidRPr="7150C1E8">
          <w:rPr>
            <w:rFonts w:eastAsiaTheme="minorEastAsia" w:cs="Arial"/>
            <w:u w:val="single"/>
          </w:rPr>
          <w:t>gov.scot</w:t>
        </w:r>
      </w:hyperlink>
      <w:hyperlink r:id="rId34">
        <w:r w:rsidR="00B8229D" w:rsidRPr="7150C1E8">
          <w:rPr>
            <w:rFonts w:eastAsiaTheme="minorEastAsia" w:cs="Arial"/>
            <w:u w:val="single"/>
          </w:rPr>
          <w:t xml:space="preserve"> (www.gov.scot)</w:t>
        </w:r>
      </w:hyperlink>
      <w:r w:rsidR="00B8229D" w:rsidRPr="7150C1E8">
        <w:rPr>
          <w:rFonts w:eastAsiaTheme="minorEastAsia" w:cs="Arial"/>
        </w:rPr>
        <w:t xml:space="preserve"> </w:t>
      </w:r>
    </w:p>
    <w:p w14:paraId="0DB64717" w14:textId="77777777" w:rsidR="00E91CBF" w:rsidRPr="00E91CBF" w:rsidRDefault="00E91CBF" w:rsidP="009B726A">
      <w:pPr>
        <w:pStyle w:val="ListParagraph"/>
        <w:tabs>
          <w:tab w:val="left" w:pos="720"/>
          <w:tab w:val="left" w:pos="1440"/>
          <w:tab w:val="left" w:pos="2160"/>
          <w:tab w:val="left" w:pos="2880"/>
          <w:tab w:val="right" w:pos="9907"/>
          <w:tab w:val="right" w:pos="10170"/>
        </w:tabs>
        <w:rPr>
          <w:rFonts w:cs="Arial"/>
        </w:rPr>
      </w:pPr>
    </w:p>
    <w:p w14:paraId="24D1F135" w14:textId="77777777" w:rsidR="00B8229D" w:rsidRPr="00E91CBF" w:rsidRDefault="00482A59" w:rsidP="009B726A">
      <w:pPr>
        <w:pStyle w:val="ListParagraph"/>
        <w:numPr>
          <w:ilvl w:val="0"/>
          <w:numId w:val="7"/>
        </w:numPr>
        <w:tabs>
          <w:tab w:val="left" w:pos="720"/>
          <w:tab w:val="left" w:pos="1440"/>
          <w:tab w:val="left" w:pos="2160"/>
          <w:tab w:val="left" w:pos="2880"/>
          <w:tab w:val="right" w:pos="9907"/>
          <w:tab w:val="right" w:pos="10170"/>
        </w:tabs>
        <w:rPr>
          <w:rFonts w:cs="Arial"/>
        </w:rPr>
      </w:pPr>
      <w:hyperlink r:id="rId35">
        <w:r w:rsidR="00B8229D" w:rsidRPr="6F8B032D">
          <w:rPr>
            <w:color w:val="0000FF"/>
            <w:u w:val="single"/>
          </w:rPr>
          <w:t>Cost of the School Day | CPAG</w:t>
        </w:r>
      </w:hyperlink>
    </w:p>
    <w:p w14:paraId="251F4C68" w14:textId="77777777" w:rsidR="00E91CBF" w:rsidRPr="00E91CBF" w:rsidRDefault="00E91CBF" w:rsidP="009B726A">
      <w:pPr>
        <w:pStyle w:val="ListParagraph"/>
        <w:tabs>
          <w:tab w:val="left" w:pos="720"/>
          <w:tab w:val="left" w:pos="1440"/>
          <w:tab w:val="left" w:pos="2160"/>
          <w:tab w:val="left" w:pos="2880"/>
          <w:tab w:val="right" w:pos="9907"/>
          <w:tab w:val="right" w:pos="10170"/>
        </w:tabs>
        <w:rPr>
          <w:rFonts w:cs="Arial"/>
        </w:rPr>
      </w:pPr>
    </w:p>
    <w:p w14:paraId="3CC2F691" w14:textId="77777777" w:rsidR="00E91CBF" w:rsidRDefault="00482A59" w:rsidP="009B726A">
      <w:pPr>
        <w:pStyle w:val="ListParagraph"/>
        <w:numPr>
          <w:ilvl w:val="0"/>
          <w:numId w:val="7"/>
        </w:numPr>
        <w:tabs>
          <w:tab w:val="left" w:pos="720"/>
          <w:tab w:val="left" w:pos="1440"/>
          <w:tab w:val="left" w:pos="2160"/>
          <w:tab w:val="left" w:pos="2880"/>
          <w:tab w:val="right" w:pos="9907"/>
          <w:tab w:val="right" w:pos="10170"/>
        </w:tabs>
        <w:rPr>
          <w:rFonts w:cs="Arial"/>
        </w:rPr>
      </w:pPr>
      <w:hyperlink r:id="rId36" w:history="1">
        <w:r w:rsidR="00E91CBF" w:rsidRPr="00E91CBF">
          <w:rPr>
            <w:color w:val="0000FF"/>
            <w:u w:val="single"/>
          </w:rPr>
          <w:t>Successful Approaches to Learning Outdoors | National Thematic Inspections | HM Chief Inspector Report | Inspection and review | What we do | Education Scotland</w:t>
        </w:r>
      </w:hyperlink>
    </w:p>
    <w:p w14:paraId="1E79E8C7" w14:textId="77777777" w:rsidR="00E91CBF" w:rsidRPr="00E91CBF" w:rsidRDefault="00E91CBF" w:rsidP="009B726A">
      <w:pPr>
        <w:pStyle w:val="ListParagraph"/>
        <w:tabs>
          <w:tab w:val="left" w:pos="720"/>
          <w:tab w:val="left" w:pos="1440"/>
          <w:tab w:val="left" w:pos="2160"/>
          <w:tab w:val="left" w:pos="2880"/>
          <w:tab w:val="right" w:pos="9907"/>
          <w:tab w:val="right" w:pos="10170"/>
        </w:tabs>
        <w:rPr>
          <w:rFonts w:asciiTheme="minorHAnsi" w:eastAsiaTheme="minorEastAsia" w:hAnsiTheme="minorHAnsi" w:cstheme="minorBidi"/>
          <w:color w:val="0000FF"/>
          <w:szCs w:val="24"/>
        </w:rPr>
      </w:pPr>
    </w:p>
    <w:p w14:paraId="45E3D470" w14:textId="77777777" w:rsidR="00B8229D" w:rsidRPr="00B8229D" w:rsidRDefault="00482A59" w:rsidP="009B726A">
      <w:pPr>
        <w:pStyle w:val="ListParagraph"/>
        <w:numPr>
          <w:ilvl w:val="0"/>
          <w:numId w:val="7"/>
        </w:numPr>
        <w:tabs>
          <w:tab w:val="left" w:pos="720"/>
          <w:tab w:val="left" w:pos="1440"/>
          <w:tab w:val="left" w:pos="2160"/>
          <w:tab w:val="left" w:pos="2880"/>
          <w:tab w:val="right" w:pos="9907"/>
          <w:tab w:val="right" w:pos="10170"/>
        </w:tabs>
        <w:rPr>
          <w:rFonts w:asciiTheme="minorHAnsi" w:eastAsiaTheme="minorEastAsia" w:hAnsiTheme="minorHAnsi" w:cstheme="minorBidi"/>
          <w:color w:val="0000FF"/>
          <w:szCs w:val="24"/>
        </w:rPr>
      </w:pPr>
      <w:hyperlink r:id="rId37" w:history="1"/>
      <w:hyperlink r:id="rId38" w:history="1">
        <w:r w:rsidR="00B8229D" w:rsidRPr="3F5AFABF">
          <w:rPr>
            <w:rStyle w:val="Hyperlink"/>
          </w:rPr>
          <w:t>Health and wellbeing: a thematic review | National Thematic Inspections | HM Chief Inspector Report | Inspection and review | What we do | Education Scotland</w:t>
        </w:r>
      </w:hyperlink>
    </w:p>
    <w:p w14:paraId="5059A4BA" w14:textId="77777777" w:rsidR="00022087" w:rsidRDefault="00022087" w:rsidP="009B726A">
      <w:pPr>
        <w:pStyle w:val="ListParagraph"/>
        <w:tabs>
          <w:tab w:val="left" w:pos="720"/>
          <w:tab w:val="left" w:pos="1440"/>
          <w:tab w:val="left" w:pos="2160"/>
          <w:tab w:val="left" w:pos="2880"/>
          <w:tab w:val="right" w:pos="9907"/>
          <w:tab w:val="right" w:pos="10170"/>
        </w:tabs>
      </w:pPr>
    </w:p>
    <w:sectPr w:rsidR="00022087">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544EF" w14:textId="77777777" w:rsidR="00B8229D" w:rsidRDefault="00B8229D" w:rsidP="00B8229D">
      <w:r>
        <w:separator/>
      </w:r>
    </w:p>
  </w:endnote>
  <w:endnote w:type="continuationSeparator" w:id="0">
    <w:p w14:paraId="15BCDF37" w14:textId="77777777" w:rsidR="00B8229D" w:rsidRDefault="00B8229D" w:rsidP="00B8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26504"/>
      <w:docPartObj>
        <w:docPartGallery w:val="Page Numbers (Bottom of Page)"/>
        <w:docPartUnique/>
      </w:docPartObj>
    </w:sdtPr>
    <w:sdtEndPr>
      <w:rPr>
        <w:noProof/>
      </w:rPr>
    </w:sdtEndPr>
    <w:sdtContent>
      <w:p w14:paraId="7084FD23" w14:textId="6E83AC82" w:rsidR="00B8229D" w:rsidRDefault="00B8229D">
        <w:pPr>
          <w:pStyle w:val="Footer"/>
          <w:jc w:val="center"/>
        </w:pPr>
        <w:r>
          <w:fldChar w:fldCharType="begin"/>
        </w:r>
        <w:r>
          <w:instrText xml:space="preserve"> PAGE   \* MERGEFORMAT </w:instrText>
        </w:r>
        <w:r>
          <w:fldChar w:fldCharType="separate"/>
        </w:r>
        <w:r w:rsidR="00482A59">
          <w:rPr>
            <w:noProof/>
          </w:rPr>
          <w:t>4</w:t>
        </w:r>
        <w:r>
          <w:rPr>
            <w:noProof/>
          </w:rPr>
          <w:fldChar w:fldCharType="end"/>
        </w:r>
      </w:p>
    </w:sdtContent>
  </w:sdt>
  <w:p w14:paraId="38F02CDD" w14:textId="77777777" w:rsidR="00B8229D" w:rsidRDefault="00B82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2F7B8" w14:textId="77777777" w:rsidR="00B8229D" w:rsidRDefault="00B8229D" w:rsidP="00B8229D">
      <w:r>
        <w:separator/>
      </w:r>
    </w:p>
  </w:footnote>
  <w:footnote w:type="continuationSeparator" w:id="0">
    <w:p w14:paraId="1027DC2F" w14:textId="77777777" w:rsidR="00B8229D" w:rsidRDefault="00B8229D" w:rsidP="00B8229D">
      <w:r>
        <w:continuationSeparator/>
      </w:r>
    </w:p>
  </w:footnote>
  <w:footnote w:id="1">
    <w:p w14:paraId="44B1B277" w14:textId="77777777" w:rsidR="00B8229D" w:rsidRPr="00F3406B" w:rsidRDefault="00B8229D" w:rsidP="00B8229D">
      <w:pPr>
        <w:tabs>
          <w:tab w:val="left" w:pos="720"/>
          <w:tab w:val="left" w:pos="1440"/>
          <w:tab w:val="left" w:pos="2160"/>
          <w:tab w:val="left" w:pos="2880"/>
          <w:tab w:val="right" w:pos="9907"/>
        </w:tabs>
        <w:rPr>
          <w:sz w:val="18"/>
          <w:szCs w:val="18"/>
        </w:rPr>
      </w:pPr>
      <w:r>
        <w:rPr>
          <w:rStyle w:val="FootnoteReference"/>
        </w:rPr>
        <w:footnoteRef/>
      </w:r>
      <w:r>
        <w:t xml:space="preserve"> </w:t>
      </w:r>
      <w:r w:rsidRPr="00F3406B">
        <w:rPr>
          <w:sz w:val="18"/>
          <w:szCs w:val="18"/>
        </w:rPr>
        <w:t>Effective practice in ELC improvement planning could also take this guidance into consideration.</w:t>
      </w:r>
    </w:p>
    <w:p w14:paraId="7018491B" w14:textId="77777777" w:rsidR="00B8229D" w:rsidRDefault="00B8229D" w:rsidP="00B8229D">
      <w:pPr>
        <w:tabs>
          <w:tab w:val="left" w:pos="720"/>
          <w:tab w:val="left" w:pos="1440"/>
          <w:tab w:val="left" w:pos="2160"/>
          <w:tab w:val="left" w:pos="2880"/>
          <w:tab w:val="right" w:pos="9907"/>
        </w:tabs>
        <w:rPr>
          <w:rFonts w:eastAsiaTheme="minorEastAsia"/>
        </w:rPr>
      </w:pPr>
      <w:r>
        <w:t xml:space="preserve"> </w:t>
      </w:r>
    </w:p>
    <w:p w14:paraId="6EB994C1" w14:textId="77777777" w:rsidR="00B8229D" w:rsidRDefault="00B8229D" w:rsidP="00B8229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AC"/>
    <w:multiLevelType w:val="hybridMultilevel"/>
    <w:tmpl w:val="05D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82DA9"/>
    <w:multiLevelType w:val="hybridMultilevel"/>
    <w:tmpl w:val="11EC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93E8F"/>
    <w:multiLevelType w:val="hybridMultilevel"/>
    <w:tmpl w:val="6876F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9D7D59"/>
    <w:multiLevelType w:val="hybridMultilevel"/>
    <w:tmpl w:val="A46A0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E54EEC"/>
    <w:multiLevelType w:val="hybridMultilevel"/>
    <w:tmpl w:val="1D442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C03683"/>
    <w:multiLevelType w:val="hybridMultilevel"/>
    <w:tmpl w:val="E1BEC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194293"/>
    <w:multiLevelType w:val="hybridMultilevel"/>
    <w:tmpl w:val="A07EA91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E743A"/>
    <w:multiLevelType w:val="hybridMultilevel"/>
    <w:tmpl w:val="E346A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774B29"/>
    <w:multiLevelType w:val="hybridMultilevel"/>
    <w:tmpl w:val="5E6E0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ED419A"/>
    <w:multiLevelType w:val="hybridMultilevel"/>
    <w:tmpl w:val="F996B23C"/>
    <w:lvl w:ilvl="0" w:tplc="42D2D672">
      <w:start w:val="1"/>
      <w:numFmt w:val="bullet"/>
      <w:lvlText w:val=""/>
      <w:lvlJc w:val="left"/>
      <w:pPr>
        <w:ind w:left="360" w:hanging="360"/>
      </w:pPr>
      <w:rPr>
        <w:rFonts w:ascii="Symbol" w:hAnsi="Symbol" w:hint="default"/>
      </w:rPr>
    </w:lvl>
    <w:lvl w:ilvl="1" w:tplc="899231A8">
      <w:start w:val="1"/>
      <w:numFmt w:val="bullet"/>
      <w:lvlText w:val="o"/>
      <w:lvlJc w:val="left"/>
      <w:pPr>
        <w:ind w:left="1080" w:hanging="360"/>
      </w:pPr>
      <w:rPr>
        <w:rFonts w:ascii="Courier New" w:hAnsi="Courier New" w:hint="default"/>
      </w:rPr>
    </w:lvl>
    <w:lvl w:ilvl="2" w:tplc="885EE4D2">
      <w:start w:val="1"/>
      <w:numFmt w:val="bullet"/>
      <w:lvlText w:val=""/>
      <w:lvlJc w:val="left"/>
      <w:pPr>
        <w:ind w:left="1800" w:hanging="360"/>
      </w:pPr>
      <w:rPr>
        <w:rFonts w:ascii="Wingdings" w:hAnsi="Wingdings" w:hint="default"/>
      </w:rPr>
    </w:lvl>
    <w:lvl w:ilvl="3" w:tplc="F5C63014">
      <w:start w:val="1"/>
      <w:numFmt w:val="bullet"/>
      <w:lvlText w:val=""/>
      <w:lvlJc w:val="left"/>
      <w:pPr>
        <w:ind w:left="2520" w:hanging="360"/>
      </w:pPr>
      <w:rPr>
        <w:rFonts w:ascii="Symbol" w:hAnsi="Symbol" w:hint="default"/>
      </w:rPr>
    </w:lvl>
    <w:lvl w:ilvl="4" w:tplc="E13A174C">
      <w:start w:val="1"/>
      <w:numFmt w:val="bullet"/>
      <w:lvlText w:val="o"/>
      <w:lvlJc w:val="left"/>
      <w:pPr>
        <w:ind w:left="3240" w:hanging="360"/>
      </w:pPr>
      <w:rPr>
        <w:rFonts w:ascii="Courier New" w:hAnsi="Courier New" w:hint="default"/>
      </w:rPr>
    </w:lvl>
    <w:lvl w:ilvl="5" w:tplc="3D5A1C08">
      <w:start w:val="1"/>
      <w:numFmt w:val="bullet"/>
      <w:lvlText w:val=""/>
      <w:lvlJc w:val="left"/>
      <w:pPr>
        <w:ind w:left="3960" w:hanging="360"/>
      </w:pPr>
      <w:rPr>
        <w:rFonts w:ascii="Wingdings" w:hAnsi="Wingdings" w:hint="default"/>
      </w:rPr>
    </w:lvl>
    <w:lvl w:ilvl="6" w:tplc="D73CCAC0">
      <w:start w:val="1"/>
      <w:numFmt w:val="bullet"/>
      <w:lvlText w:val=""/>
      <w:lvlJc w:val="left"/>
      <w:pPr>
        <w:ind w:left="4680" w:hanging="360"/>
      </w:pPr>
      <w:rPr>
        <w:rFonts w:ascii="Symbol" w:hAnsi="Symbol" w:hint="default"/>
      </w:rPr>
    </w:lvl>
    <w:lvl w:ilvl="7" w:tplc="C2AE379A">
      <w:start w:val="1"/>
      <w:numFmt w:val="bullet"/>
      <w:lvlText w:val="o"/>
      <w:lvlJc w:val="left"/>
      <w:pPr>
        <w:ind w:left="5400" w:hanging="360"/>
      </w:pPr>
      <w:rPr>
        <w:rFonts w:ascii="Courier New" w:hAnsi="Courier New" w:hint="default"/>
      </w:rPr>
    </w:lvl>
    <w:lvl w:ilvl="8" w:tplc="82847E3A">
      <w:start w:val="1"/>
      <w:numFmt w:val="bullet"/>
      <w:lvlText w:val=""/>
      <w:lvlJc w:val="left"/>
      <w:pPr>
        <w:ind w:left="6120" w:hanging="360"/>
      </w:pPr>
      <w:rPr>
        <w:rFonts w:ascii="Wingdings" w:hAnsi="Wingdings" w:hint="default"/>
      </w:rPr>
    </w:lvl>
  </w:abstractNum>
  <w:abstractNum w:abstractNumId="10" w15:restartNumberingAfterBreak="0">
    <w:nsid w:val="7D1B4606"/>
    <w:multiLevelType w:val="hybridMultilevel"/>
    <w:tmpl w:val="164A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4"/>
  </w:num>
  <w:num w:numId="6">
    <w:abstractNumId w:val="7"/>
  </w:num>
  <w:num w:numId="7">
    <w:abstractNumId w:val="6"/>
  </w:num>
  <w:num w:numId="8">
    <w:abstractNumId w:val="8"/>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9D"/>
    <w:rsid w:val="00022087"/>
    <w:rsid w:val="00482A59"/>
    <w:rsid w:val="006C265D"/>
    <w:rsid w:val="009B726A"/>
    <w:rsid w:val="009D7DFA"/>
    <w:rsid w:val="00B8229D"/>
    <w:rsid w:val="00E91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4389"/>
  <w15:chartTrackingRefBased/>
  <w15:docId w15:val="{1261DB33-2161-4C02-ACCB-E08361D0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9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9D"/>
    <w:pPr>
      <w:ind w:left="720"/>
      <w:contextualSpacing/>
    </w:pPr>
  </w:style>
  <w:style w:type="character" w:styleId="Hyperlink">
    <w:name w:val="Hyperlink"/>
    <w:basedOn w:val="DefaultParagraphFont"/>
    <w:uiPriority w:val="99"/>
    <w:unhideWhenUsed/>
    <w:rsid w:val="00B8229D"/>
    <w:rPr>
      <w:color w:val="0000FF"/>
      <w:u w:val="single"/>
    </w:rPr>
  </w:style>
  <w:style w:type="table" w:styleId="TableGrid">
    <w:name w:val="Table Grid"/>
    <w:basedOn w:val="TableNormal"/>
    <w:uiPriority w:val="39"/>
    <w:rsid w:val="00B8229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8229D"/>
    <w:rPr>
      <w:vertAlign w:val="superscript"/>
    </w:rPr>
  </w:style>
  <w:style w:type="character" w:customStyle="1" w:styleId="FootnoteTextChar">
    <w:name w:val="Footnote Text Char"/>
    <w:basedOn w:val="DefaultParagraphFont"/>
    <w:link w:val="FootnoteText"/>
    <w:uiPriority w:val="99"/>
    <w:semiHidden/>
    <w:rsid w:val="00B8229D"/>
    <w:rPr>
      <w:sz w:val="20"/>
      <w:szCs w:val="20"/>
    </w:rPr>
  </w:style>
  <w:style w:type="paragraph" w:styleId="FootnoteText">
    <w:name w:val="footnote text"/>
    <w:basedOn w:val="Normal"/>
    <w:link w:val="FootnoteTextChar"/>
    <w:uiPriority w:val="99"/>
    <w:semiHidden/>
    <w:unhideWhenUsed/>
    <w:rsid w:val="00B8229D"/>
    <w:rPr>
      <w:rFonts w:asciiTheme="minorHAnsi" w:eastAsiaTheme="minorHAnsi" w:hAnsiTheme="minorHAnsi" w:cstheme="minorBidi"/>
      <w:sz w:val="20"/>
    </w:rPr>
  </w:style>
  <w:style w:type="character" w:customStyle="1" w:styleId="FootnoteTextChar1">
    <w:name w:val="Footnote Text Char1"/>
    <w:basedOn w:val="DefaultParagraphFont"/>
    <w:uiPriority w:val="99"/>
    <w:semiHidden/>
    <w:rsid w:val="00B8229D"/>
    <w:rPr>
      <w:rFonts w:ascii="Arial" w:eastAsia="Times New Roman" w:hAnsi="Arial" w:cs="Times New Roman"/>
      <w:sz w:val="20"/>
      <w:szCs w:val="20"/>
    </w:rPr>
  </w:style>
  <w:style w:type="character" w:customStyle="1" w:styleId="normaltextrun">
    <w:name w:val="normaltextrun"/>
    <w:basedOn w:val="DefaultParagraphFont"/>
    <w:rsid w:val="00B8229D"/>
  </w:style>
  <w:style w:type="character" w:styleId="FollowedHyperlink">
    <w:name w:val="FollowedHyperlink"/>
    <w:basedOn w:val="DefaultParagraphFont"/>
    <w:uiPriority w:val="99"/>
    <w:semiHidden/>
    <w:unhideWhenUsed/>
    <w:rsid w:val="00B8229D"/>
    <w:rPr>
      <w:color w:val="954F72" w:themeColor="followedHyperlink"/>
      <w:u w:val="single"/>
    </w:rPr>
  </w:style>
  <w:style w:type="paragraph" w:styleId="Header">
    <w:name w:val="header"/>
    <w:basedOn w:val="Normal"/>
    <w:link w:val="HeaderChar"/>
    <w:uiPriority w:val="99"/>
    <w:unhideWhenUsed/>
    <w:rsid w:val="00B8229D"/>
    <w:pPr>
      <w:tabs>
        <w:tab w:val="center" w:pos="4513"/>
        <w:tab w:val="right" w:pos="9026"/>
      </w:tabs>
    </w:pPr>
  </w:style>
  <w:style w:type="character" w:customStyle="1" w:styleId="HeaderChar">
    <w:name w:val="Header Char"/>
    <w:basedOn w:val="DefaultParagraphFont"/>
    <w:link w:val="Header"/>
    <w:uiPriority w:val="99"/>
    <w:rsid w:val="00B8229D"/>
    <w:rPr>
      <w:rFonts w:ascii="Arial" w:eastAsia="Times New Roman" w:hAnsi="Arial" w:cs="Times New Roman"/>
      <w:sz w:val="24"/>
      <w:szCs w:val="20"/>
    </w:rPr>
  </w:style>
  <w:style w:type="paragraph" w:styleId="Footer">
    <w:name w:val="footer"/>
    <w:basedOn w:val="Normal"/>
    <w:link w:val="FooterChar"/>
    <w:uiPriority w:val="99"/>
    <w:unhideWhenUsed/>
    <w:rsid w:val="00B8229D"/>
    <w:pPr>
      <w:tabs>
        <w:tab w:val="center" w:pos="4513"/>
        <w:tab w:val="right" w:pos="9026"/>
      </w:tabs>
    </w:pPr>
  </w:style>
  <w:style w:type="character" w:customStyle="1" w:styleId="FooterChar">
    <w:name w:val="Footer Char"/>
    <w:basedOn w:val="DefaultParagraphFont"/>
    <w:link w:val="Footer"/>
    <w:uiPriority w:val="99"/>
    <w:rsid w:val="00B8229D"/>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9D7DFA"/>
    <w:rPr>
      <w:sz w:val="16"/>
      <w:szCs w:val="16"/>
    </w:rPr>
  </w:style>
  <w:style w:type="paragraph" w:styleId="CommentText">
    <w:name w:val="annotation text"/>
    <w:basedOn w:val="Normal"/>
    <w:link w:val="CommentTextChar"/>
    <w:uiPriority w:val="99"/>
    <w:semiHidden/>
    <w:unhideWhenUsed/>
    <w:rsid w:val="009D7DFA"/>
    <w:rPr>
      <w:sz w:val="20"/>
    </w:rPr>
  </w:style>
  <w:style w:type="character" w:customStyle="1" w:styleId="CommentTextChar">
    <w:name w:val="Comment Text Char"/>
    <w:basedOn w:val="DefaultParagraphFont"/>
    <w:link w:val="CommentText"/>
    <w:uiPriority w:val="99"/>
    <w:semiHidden/>
    <w:rsid w:val="009D7DF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7DFA"/>
    <w:rPr>
      <w:b/>
      <w:bCs/>
    </w:rPr>
  </w:style>
  <w:style w:type="character" w:customStyle="1" w:styleId="CommentSubjectChar">
    <w:name w:val="Comment Subject Char"/>
    <w:basedOn w:val="CommentTextChar"/>
    <w:link w:val="CommentSubject"/>
    <w:uiPriority w:val="99"/>
    <w:semiHidden/>
    <w:rsid w:val="009D7DF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D7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lf-evaluation/HGIOS4" TargetMode="External"/><Relationship Id="rId13" Type="http://schemas.openxmlformats.org/officeDocument/2006/relationships/hyperlink" Target="https://www.gov.scot/publications/scottish-attainment-challenge-framework-recovery-accelerating-progress/pages/2/" TargetMode="External"/><Relationship Id="rId18" Type="http://schemas.openxmlformats.org/officeDocument/2006/relationships/hyperlink" Target="https://www.gov.scot/binaries/content/documents/govscot/publications/advice-and-guidance/2022/03/scottish-attainment-challenge-framework-recovery-accelerating-progress/documents/tackling-poverty-related-attainment-gap-theory-change-scottish-attainment-challenge-logic-model/tackling-poverty-related-attainment-gap-theory-change-scottish-attainment-challenge-logic-model/govscot%3Adocument/tackling-poverty-related-attainment-gap-theory-change-scottish-attainment-challenge-logic-model.pdf" TargetMode="External"/><Relationship Id="rId26" Type="http://schemas.openxmlformats.org/officeDocument/2006/relationships/hyperlink" Target="https://education.gov.scot/improvement/self-evaluation/whole-school-and-community-approach-to-learning-for-sustainability-lfs-self-evaluation-and-improvement-framewor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v.scot/publications/decision-making-children-and-young-peoples-participation/" TargetMode="External"/><Relationship Id="rId34" Type="http://schemas.openxmlformats.org/officeDocument/2006/relationships/hyperlink" Target="https://www.gov.scot/publications/putting-learners-centre-towards-future-vision-scottish-education/" TargetMode="External"/><Relationship Id="rId7" Type="http://schemas.openxmlformats.org/officeDocument/2006/relationships/hyperlink" Target="https://www.gov.scot/publications/statutory-guidance-standards-scotlands-schools-etc-act-2000-9781786528759/" TargetMode="External"/><Relationship Id="rId12" Type="http://schemas.openxmlformats.org/officeDocument/2006/relationships/hyperlink" Target="https://www.gov.scot/binaries/content/documents/govscot/publications/strategy-plan/2021/12/achieving-excellence-equity-2022-national-improvement-framework-improvement-plan/documents/achieving-excellence-equity-2022-national-improvement-framework-improvement-plan/achieving-excellence-equity-2022-national-improvement-framework-improvement-plan/govscot%3Adocument/achieving-excellence-equity-2022-national-improvement-framework-improvement-plan.pdf?forceDownload=true" TargetMode="External"/><Relationship Id="rId17" Type="http://schemas.openxmlformats.org/officeDocument/2006/relationships/hyperlink" Target="https://education.gov.scot/media/socd4yfa/pupil-equity-funding-looking-inwards-outwards-forwards.pdf" TargetMode="External"/><Relationship Id="rId25" Type="http://schemas.openxmlformats.org/officeDocument/2006/relationships/hyperlink" Target="https://education.gov.scot/improvement/self-evaluation/whole-school-and-community-approach-to-learning-for-sustainability-lfs-self-evaluation-and-improvement-framework" TargetMode="External"/><Relationship Id="rId33" Type="http://schemas.openxmlformats.org/officeDocument/2006/relationships/hyperlink" Target="https://www.gov.scot/publications/putting-learners-centre-towards-future-vision-scottish-education/" TargetMode="External"/><Relationship Id="rId38" Type="http://schemas.openxmlformats.org/officeDocument/2006/relationships/hyperlink" Target="https://education.gov.scot/education-scotland/what-we-do/inspection-and-review/chief-inspector-report/national-thematic-inspections/health-and-wellbeing-a-thematic-review/" TargetMode="External"/><Relationship Id="rId2" Type="http://schemas.openxmlformats.org/officeDocument/2006/relationships/styles" Target="styles.xml"/><Relationship Id="rId16" Type="http://schemas.openxmlformats.org/officeDocument/2006/relationships/hyperlink" Target="https://www.gov.scot/publications/pupil-equity-fund-national-operational-guidance-2022/" TargetMode="External"/><Relationship Id="rId20" Type="http://schemas.openxmlformats.org/officeDocument/2006/relationships/hyperlink" Target="https://www.gov.scot/news/embedding-race-equality-in-schools/" TargetMode="External"/><Relationship Id="rId29" Type="http://schemas.openxmlformats.org/officeDocument/2006/relationships/hyperlink" Target="https://thepromise.scot/change-programme-on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achieving-excellence-equity-2022-national-improvement-framework-improvement-plan/documents/" TargetMode="External"/><Relationship Id="rId24" Type="http://schemas.openxmlformats.org/officeDocument/2006/relationships/hyperlink" Target="https://education.gov.scot/improvement/self-evaluation/whole-school-and-community-approach-to-learning-for-sustainability-lfs-self-evaluation-and-improvement-framework" TargetMode="External"/><Relationship Id="rId32" Type="http://schemas.openxmlformats.org/officeDocument/2006/relationships/hyperlink" Target="https://www.gov.scot/publications/putting-learners-centre-towards-future-vision-scottish-education/" TargetMode="External"/><Relationship Id="rId37" Type="http://schemas.openxmlformats.org/officeDocument/2006/relationships/hyperlink" Target="https://education.gov.scot/media/rwrgl3jz/health-and-wellbeing-a-thematic-review.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scot/publications/scottish-attainment-challenge-framework-recovery-accelerating-progress/" TargetMode="External"/><Relationship Id="rId23" Type="http://schemas.openxmlformats.org/officeDocument/2006/relationships/hyperlink" Target="https://www.gov.scot/publications/decision-making-children-and-young-peoples-participation/" TargetMode="External"/><Relationship Id="rId28" Type="http://schemas.openxmlformats.org/officeDocument/2006/relationships/hyperlink" Target="https://education.gov.scot/improvement/self-evaluation/whole-school-and-community-approach-to-learning-for-sustainability-lfs-self-evaluation-and-improvement-framework" TargetMode="External"/><Relationship Id="rId36" Type="http://schemas.openxmlformats.org/officeDocument/2006/relationships/hyperlink" Target="https://education.gov.scot/education-scotland/what-we-do/inspection-and-review/chief-inspector-report/national-thematic-inspections/successful-approaches-to-learning-outdoors/" TargetMode="External"/><Relationship Id="rId10" Type="http://schemas.openxmlformats.org/officeDocument/2006/relationships/hyperlink" Target="https://education.gov.scot/improvement/self-evaluation/HGIOS4" TargetMode="External"/><Relationship Id="rId19" Type="http://schemas.openxmlformats.org/officeDocument/2006/relationships/hyperlink" Target="https://education.gov.scot/improvement/learning-resources/realising-the-ambition/" TargetMode="External"/><Relationship Id="rId31" Type="http://schemas.openxmlformats.org/officeDocument/2006/relationships/hyperlink" Target="https://www.gov.scot/publications/putting-learners-centre-towards-future-vision-scottish-education/" TargetMode="External"/><Relationship Id="rId4" Type="http://schemas.openxmlformats.org/officeDocument/2006/relationships/webSettings" Target="webSettings.xml"/><Relationship Id="rId9" Type="http://schemas.openxmlformats.org/officeDocument/2006/relationships/hyperlink" Target="https://education.gov.scot/improvement/self-evaluation/frwk20-how-good-is-our-school/" TargetMode="External"/><Relationship Id="rId14" Type="http://schemas.openxmlformats.org/officeDocument/2006/relationships/hyperlink" Target="https://www.gov.scot/publications/pupil-equity-fund-national-operational-guidance-2022/" TargetMode="External"/><Relationship Id="rId22" Type="http://schemas.openxmlformats.org/officeDocument/2006/relationships/hyperlink" Target="https://www.gov.scot/publications/decision-making-children-and-young-peoples-participation/" TargetMode="External"/><Relationship Id="rId27" Type="http://schemas.openxmlformats.org/officeDocument/2006/relationships/hyperlink" Target="https://education.gov.scot/improvement/self-evaluation/whole-school-and-community-approach-to-learning-for-sustainability-lfs-self-evaluation-and-improvement-framework" TargetMode="External"/><Relationship Id="rId30" Type="http://schemas.openxmlformats.org/officeDocument/2006/relationships/hyperlink" Target="https://www.gov.scot/publications/additional-support-learning-action-plan-updated-october-2021/pages/13/" TargetMode="External"/><Relationship Id="rId35" Type="http://schemas.openxmlformats.org/officeDocument/2006/relationships/hyperlink" Target="https://cpag.org.uk/cost-of-the-school-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2041</Words>
  <Characters>11638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McIlroy</dc:creator>
  <cp:keywords/>
  <dc:description/>
  <cp:lastModifiedBy>Robyn McIlroy</cp:lastModifiedBy>
  <cp:revision>2</cp:revision>
  <dcterms:created xsi:type="dcterms:W3CDTF">2022-04-27T13:59:00Z</dcterms:created>
  <dcterms:modified xsi:type="dcterms:W3CDTF">2022-04-27T13:59:00Z</dcterms:modified>
</cp:coreProperties>
</file>